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0011F4F9" w14:textId="77777777" w:rsidTr="005F7F7E">
        <w:tc>
          <w:tcPr>
            <w:tcW w:w="2438" w:type="dxa"/>
            <w:shd w:val="clear" w:color="auto" w:fill="auto"/>
          </w:tcPr>
          <w:p w14:paraId="7F4771FF"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1F1B0A2" w14:textId="5F9C222C" w:rsidR="00F445B1" w:rsidRPr="00F95BC9" w:rsidRDefault="00632588" w:rsidP="000A47AE">
            <w:pPr>
              <w:rPr>
                <w:rStyle w:val="Firstpagetablebold"/>
              </w:rPr>
            </w:pPr>
            <w:r>
              <w:rPr>
                <w:rStyle w:val="Firstpagetablebold"/>
              </w:rPr>
              <w:t>Cabinet</w:t>
            </w:r>
          </w:p>
        </w:tc>
      </w:tr>
      <w:tr w:rsidR="00CE544A" w:rsidRPr="00975B07" w14:paraId="67FF0822" w14:textId="77777777" w:rsidTr="005F7F7E">
        <w:tc>
          <w:tcPr>
            <w:tcW w:w="2438" w:type="dxa"/>
            <w:shd w:val="clear" w:color="auto" w:fill="auto"/>
          </w:tcPr>
          <w:p w14:paraId="4BEF97D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D28F9AC" w14:textId="6350DF94" w:rsidR="00F445B1" w:rsidRPr="001356F1" w:rsidRDefault="001A6EE3" w:rsidP="000A47AE">
            <w:pPr>
              <w:rPr>
                <w:b/>
              </w:rPr>
            </w:pPr>
            <w:r>
              <w:rPr>
                <w:rStyle w:val="Firstpagetablebold"/>
              </w:rPr>
              <w:t>1</w:t>
            </w:r>
            <w:r w:rsidR="00A413FC">
              <w:rPr>
                <w:rStyle w:val="Firstpagetablebold"/>
              </w:rPr>
              <w:t>4</w:t>
            </w:r>
            <w:r w:rsidR="00177372">
              <w:rPr>
                <w:rStyle w:val="Firstpagetablebold"/>
              </w:rPr>
              <w:t xml:space="preserve"> </w:t>
            </w:r>
            <w:r w:rsidR="006633F1">
              <w:rPr>
                <w:rStyle w:val="Firstpagetablebold"/>
              </w:rPr>
              <w:t>Sept</w:t>
            </w:r>
            <w:r w:rsidR="00F54F97">
              <w:rPr>
                <w:rStyle w:val="Firstpagetablebold"/>
              </w:rPr>
              <w:t>ember</w:t>
            </w:r>
            <w:r w:rsidR="00534A13">
              <w:rPr>
                <w:rStyle w:val="Firstpagetablebold"/>
              </w:rPr>
              <w:t xml:space="preserve"> 202</w:t>
            </w:r>
            <w:r w:rsidR="00A413FC">
              <w:rPr>
                <w:rStyle w:val="Firstpagetablebold"/>
              </w:rPr>
              <w:t>2</w:t>
            </w:r>
            <w:r w:rsidR="000A47AE">
              <w:rPr>
                <w:rStyle w:val="Firstpagetablebold"/>
              </w:rPr>
              <w:t xml:space="preserve">  </w:t>
            </w:r>
          </w:p>
        </w:tc>
      </w:tr>
      <w:tr w:rsidR="00CE544A" w:rsidRPr="00975B07" w14:paraId="36750B84" w14:textId="77777777" w:rsidTr="005F7F7E">
        <w:tc>
          <w:tcPr>
            <w:tcW w:w="2438" w:type="dxa"/>
            <w:shd w:val="clear" w:color="auto" w:fill="auto"/>
          </w:tcPr>
          <w:p w14:paraId="3DE7F99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075EC54A" w14:textId="77777777" w:rsidR="00F445B1" w:rsidRDefault="00177372" w:rsidP="004A6D2F">
            <w:pPr>
              <w:rPr>
                <w:rStyle w:val="Firstpagetablebold"/>
              </w:rPr>
            </w:pPr>
            <w:r>
              <w:rPr>
                <w:rStyle w:val="Firstpagetablebold"/>
              </w:rPr>
              <w:t>Head of Financial Services</w:t>
            </w:r>
          </w:p>
          <w:p w14:paraId="59C35A88" w14:textId="77777777" w:rsidR="00177372" w:rsidRPr="001356F1" w:rsidRDefault="00177372" w:rsidP="004A6D2F">
            <w:pPr>
              <w:rPr>
                <w:rStyle w:val="Firstpagetablebold"/>
              </w:rPr>
            </w:pPr>
            <w:r>
              <w:rPr>
                <w:rStyle w:val="Firstpagetablebold"/>
              </w:rPr>
              <w:t>Head of Business Improvement</w:t>
            </w:r>
          </w:p>
        </w:tc>
      </w:tr>
      <w:tr w:rsidR="00CE544A" w:rsidRPr="00975B07" w14:paraId="732AA7BF" w14:textId="77777777" w:rsidTr="005F7F7E">
        <w:tc>
          <w:tcPr>
            <w:tcW w:w="2438" w:type="dxa"/>
            <w:shd w:val="clear" w:color="auto" w:fill="auto"/>
          </w:tcPr>
          <w:p w14:paraId="4347A75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EEA722B" w14:textId="77777777" w:rsidR="00F445B1" w:rsidRPr="001356F1" w:rsidRDefault="00177372" w:rsidP="006633F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871859">
              <w:rPr>
                <w:rStyle w:val="Firstpagetablebold"/>
              </w:rPr>
              <w:t>1</w:t>
            </w:r>
            <w:r w:rsidR="00C00652">
              <w:rPr>
                <w:rStyle w:val="Firstpagetablebold"/>
              </w:rPr>
              <w:t xml:space="preserve"> 20</w:t>
            </w:r>
            <w:r w:rsidR="00632588">
              <w:rPr>
                <w:rStyle w:val="Firstpagetablebold"/>
              </w:rPr>
              <w:t>2</w:t>
            </w:r>
            <w:r w:rsidR="00A413FC">
              <w:rPr>
                <w:rStyle w:val="Firstpagetablebold"/>
              </w:rPr>
              <w:t>2</w:t>
            </w:r>
            <w:r w:rsidR="00871859">
              <w:rPr>
                <w:rStyle w:val="Firstpagetablebold"/>
              </w:rPr>
              <w:t>/2</w:t>
            </w:r>
            <w:r w:rsidR="00A413FC">
              <w:rPr>
                <w:rStyle w:val="Firstpagetablebold"/>
              </w:rPr>
              <w:t>3</w:t>
            </w:r>
          </w:p>
        </w:tc>
      </w:tr>
    </w:tbl>
    <w:p w14:paraId="4672393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37"/>
        <w:gridCol w:w="5844"/>
      </w:tblGrid>
      <w:tr w:rsidR="00D5547E" w14:paraId="307E81AC" w14:textId="77777777" w:rsidTr="00CF4B23">
        <w:tc>
          <w:tcPr>
            <w:tcW w:w="9170" w:type="dxa"/>
            <w:gridSpan w:val="3"/>
            <w:tcBorders>
              <w:bottom w:val="single" w:sz="8" w:space="0" w:color="000000"/>
            </w:tcBorders>
            <w:hideMark/>
          </w:tcPr>
          <w:p w14:paraId="2709729C"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7881BDF" w14:textId="77777777" w:rsidTr="00CF4B23">
        <w:tc>
          <w:tcPr>
            <w:tcW w:w="3326" w:type="dxa"/>
            <w:gridSpan w:val="2"/>
            <w:tcBorders>
              <w:top w:val="single" w:sz="8" w:space="0" w:color="000000"/>
              <w:left w:val="single" w:sz="8" w:space="0" w:color="000000"/>
              <w:bottom w:val="nil"/>
              <w:right w:val="nil"/>
            </w:tcBorders>
            <w:hideMark/>
          </w:tcPr>
          <w:p w14:paraId="00416367" w14:textId="77777777" w:rsidR="00D5547E" w:rsidRDefault="00D5547E">
            <w:pPr>
              <w:rPr>
                <w:rStyle w:val="Firstpagetablebold"/>
              </w:rPr>
            </w:pPr>
            <w:r>
              <w:rPr>
                <w:rStyle w:val="Firstpagetablebold"/>
              </w:rPr>
              <w:t>Purpose of report:</w:t>
            </w:r>
          </w:p>
        </w:tc>
        <w:tc>
          <w:tcPr>
            <w:tcW w:w="5844" w:type="dxa"/>
            <w:tcBorders>
              <w:top w:val="single" w:sz="8" w:space="0" w:color="000000"/>
              <w:left w:val="nil"/>
              <w:bottom w:val="nil"/>
              <w:right w:val="single" w:sz="8" w:space="0" w:color="000000"/>
            </w:tcBorders>
            <w:hideMark/>
          </w:tcPr>
          <w:p w14:paraId="678F1792" w14:textId="77777777" w:rsidR="00D5547E" w:rsidRPr="001356F1" w:rsidRDefault="00A91B9B" w:rsidP="00A413FC">
            <w:r>
              <w:t xml:space="preserve">To update </w:t>
            </w:r>
            <w:r w:rsidR="00BB420C">
              <w:t xml:space="preserve">the </w:t>
            </w:r>
            <w:r w:rsidR="00CF795B">
              <w:t>Cabinet</w:t>
            </w:r>
            <w:r>
              <w:t xml:space="preserve"> </w:t>
            </w:r>
            <w:r w:rsidRPr="005B020D">
              <w:rPr>
                <w:color w:val="auto"/>
              </w:rPr>
              <w:t xml:space="preserve">on Finance, Risk and </w:t>
            </w:r>
            <w:r w:rsidR="00CF795B" w:rsidRPr="005B020D">
              <w:rPr>
                <w:color w:val="auto"/>
              </w:rPr>
              <w:t xml:space="preserve">Corporate </w:t>
            </w:r>
            <w:r w:rsidRPr="005B020D">
              <w:rPr>
                <w:color w:val="auto"/>
              </w:rPr>
              <w:t>Performance</w:t>
            </w:r>
            <w:r w:rsidR="00CF795B" w:rsidRPr="005B020D">
              <w:rPr>
                <w:color w:val="auto"/>
              </w:rPr>
              <w:t xml:space="preserve"> matters</w:t>
            </w:r>
            <w:r w:rsidRPr="005B020D">
              <w:rPr>
                <w:color w:val="auto"/>
              </w:rPr>
              <w:t xml:space="preserve"> as </w:t>
            </w:r>
            <w:r>
              <w:t xml:space="preserve">at </w:t>
            </w:r>
            <w:r w:rsidR="00534A13">
              <w:t>3</w:t>
            </w:r>
            <w:r w:rsidR="00871859">
              <w:t>0</w:t>
            </w:r>
            <w:r w:rsidR="00871859" w:rsidRPr="00871859">
              <w:rPr>
                <w:vertAlign w:val="superscript"/>
              </w:rPr>
              <w:t>th</w:t>
            </w:r>
            <w:r w:rsidR="00871859">
              <w:t xml:space="preserve"> June 202</w:t>
            </w:r>
            <w:r w:rsidR="00A413FC">
              <w:t>2</w:t>
            </w:r>
            <w:r w:rsidR="00964187">
              <w:t>.</w:t>
            </w:r>
          </w:p>
        </w:tc>
      </w:tr>
      <w:tr w:rsidR="00D5547E" w14:paraId="4E0EABF7" w14:textId="77777777" w:rsidTr="00CF4B23">
        <w:tc>
          <w:tcPr>
            <w:tcW w:w="3326" w:type="dxa"/>
            <w:gridSpan w:val="2"/>
            <w:tcBorders>
              <w:top w:val="nil"/>
              <w:left w:val="single" w:sz="8" w:space="0" w:color="000000"/>
              <w:bottom w:val="nil"/>
              <w:right w:val="nil"/>
            </w:tcBorders>
            <w:hideMark/>
          </w:tcPr>
          <w:p w14:paraId="3BA22E73" w14:textId="77777777" w:rsidR="00D5547E" w:rsidRDefault="00D5547E">
            <w:pPr>
              <w:rPr>
                <w:rStyle w:val="Firstpagetablebold"/>
              </w:rPr>
            </w:pPr>
            <w:r>
              <w:rPr>
                <w:rStyle w:val="Firstpagetablebold"/>
              </w:rPr>
              <w:t>Key decision:</w:t>
            </w:r>
          </w:p>
        </w:tc>
        <w:tc>
          <w:tcPr>
            <w:tcW w:w="5844" w:type="dxa"/>
            <w:tcBorders>
              <w:top w:val="nil"/>
              <w:left w:val="nil"/>
              <w:bottom w:val="nil"/>
              <w:right w:val="single" w:sz="8" w:space="0" w:color="000000"/>
            </w:tcBorders>
            <w:hideMark/>
          </w:tcPr>
          <w:p w14:paraId="57DCD61B" w14:textId="77777777" w:rsidR="00D5547E" w:rsidRPr="001356F1" w:rsidRDefault="00177372" w:rsidP="005F7F7E">
            <w:r>
              <w:t>No</w:t>
            </w:r>
          </w:p>
        </w:tc>
      </w:tr>
      <w:tr w:rsidR="00D5547E" w14:paraId="6438E459" w14:textId="77777777" w:rsidTr="00CF4B23">
        <w:tc>
          <w:tcPr>
            <w:tcW w:w="3326" w:type="dxa"/>
            <w:gridSpan w:val="2"/>
            <w:tcBorders>
              <w:top w:val="nil"/>
              <w:left w:val="single" w:sz="8" w:space="0" w:color="000000"/>
              <w:bottom w:val="nil"/>
              <w:right w:val="nil"/>
            </w:tcBorders>
            <w:hideMark/>
          </w:tcPr>
          <w:p w14:paraId="23E7FAA0" w14:textId="30ED268B" w:rsidR="00D5547E" w:rsidRDefault="00F54F97">
            <w:pPr>
              <w:rPr>
                <w:rStyle w:val="Firstpagetablebold"/>
              </w:rPr>
            </w:pPr>
            <w:r>
              <w:rPr>
                <w:rStyle w:val="Firstpagetablebold"/>
              </w:rPr>
              <w:t>Cabinet</w:t>
            </w:r>
            <w:r w:rsidR="00D5547E">
              <w:rPr>
                <w:rStyle w:val="Firstpagetablebold"/>
              </w:rPr>
              <w:t xml:space="preserve"> Member:</w:t>
            </w:r>
          </w:p>
        </w:tc>
        <w:tc>
          <w:tcPr>
            <w:tcW w:w="5844" w:type="dxa"/>
            <w:tcBorders>
              <w:top w:val="nil"/>
              <w:left w:val="nil"/>
              <w:bottom w:val="nil"/>
              <w:right w:val="single" w:sz="8" w:space="0" w:color="000000"/>
            </w:tcBorders>
            <w:hideMark/>
          </w:tcPr>
          <w:p w14:paraId="15868214" w14:textId="0CA8B352" w:rsidR="00D5547E" w:rsidRPr="001356F1" w:rsidRDefault="00D5547E" w:rsidP="00FB70AC">
            <w:r w:rsidRPr="001356F1">
              <w:t xml:space="preserve">Councillor </w:t>
            </w:r>
            <w:r w:rsidR="00FB70AC">
              <w:t>Ed Turner</w:t>
            </w:r>
            <w:r w:rsidR="00F54F97">
              <w:t>, Cabinet Member for Finance and Asset Management</w:t>
            </w:r>
          </w:p>
        </w:tc>
      </w:tr>
      <w:tr w:rsidR="0080749A" w14:paraId="5B7534AD" w14:textId="77777777" w:rsidTr="00CF4B23">
        <w:tc>
          <w:tcPr>
            <w:tcW w:w="3326" w:type="dxa"/>
            <w:gridSpan w:val="2"/>
            <w:tcBorders>
              <w:top w:val="nil"/>
              <w:left w:val="single" w:sz="8" w:space="0" w:color="000000"/>
              <w:bottom w:val="nil"/>
              <w:right w:val="nil"/>
            </w:tcBorders>
          </w:tcPr>
          <w:p w14:paraId="759D152D" w14:textId="77777777" w:rsidR="0080749A" w:rsidRDefault="0080749A">
            <w:pPr>
              <w:rPr>
                <w:rStyle w:val="Firstpagetablebold"/>
              </w:rPr>
            </w:pPr>
            <w:r>
              <w:rPr>
                <w:rStyle w:val="Firstpagetablebold"/>
              </w:rPr>
              <w:t>Corporate Priority:</w:t>
            </w:r>
          </w:p>
        </w:tc>
        <w:tc>
          <w:tcPr>
            <w:tcW w:w="5844" w:type="dxa"/>
            <w:tcBorders>
              <w:top w:val="nil"/>
              <w:left w:val="nil"/>
              <w:bottom w:val="nil"/>
              <w:right w:val="single" w:sz="8" w:space="0" w:color="000000"/>
            </w:tcBorders>
          </w:tcPr>
          <w:p w14:paraId="2642604D" w14:textId="4C0F4795" w:rsidR="0080749A" w:rsidRPr="001356F1" w:rsidRDefault="00F54F97" w:rsidP="005F7F7E">
            <w:r>
              <w:t>All</w:t>
            </w:r>
          </w:p>
        </w:tc>
      </w:tr>
      <w:tr w:rsidR="00D5547E" w14:paraId="46AAC5B4" w14:textId="77777777" w:rsidTr="00CF4B23">
        <w:tc>
          <w:tcPr>
            <w:tcW w:w="3326" w:type="dxa"/>
            <w:gridSpan w:val="2"/>
            <w:tcBorders>
              <w:top w:val="nil"/>
              <w:left w:val="single" w:sz="8" w:space="0" w:color="000000"/>
              <w:bottom w:val="nil"/>
              <w:right w:val="nil"/>
            </w:tcBorders>
            <w:hideMark/>
          </w:tcPr>
          <w:p w14:paraId="3A72AE5C" w14:textId="77777777" w:rsidR="00D5547E" w:rsidRDefault="00D5547E">
            <w:pPr>
              <w:rPr>
                <w:rStyle w:val="Firstpagetablebold"/>
              </w:rPr>
            </w:pPr>
            <w:r>
              <w:rPr>
                <w:rStyle w:val="Firstpagetablebold"/>
              </w:rPr>
              <w:t>Policy Framework:</w:t>
            </w:r>
          </w:p>
        </w:tc>
        <w:tc>
          <w:tcPr>
            <w:tcW w:w="5844" w:type="dxa"/>
            <w:tcBorders>
              <w:top w:val="nil"/>
              <w:left w:val="nil"/>
              <w:bottom w:val="nil"/>
              <w:right w:val="single" w:sz="8" w:space="0" w:color="000000"/>
            </w:tcBorders>
            <w:hideMark/>
          </w:tcPr>
          <w:p w14:paraId="5C97CD45" w14:textId="28AF2CA8" w:rsidR="00D5547E" w:rsidRPr="001356F1" w:rsidRDefault="00F54F97" w:rsidP="005F7F7E">
            <w:r>
              <w:t>Council Strategy 2020-24</w:t>
            </w:r>
          </w:p>
        </w:tc>
      </w:tr>
      <w:tr w:rsidR="005F7F7E" w:rsidRPr="00975B07" w14:paraId="6D67B177" w14:textId="77777777" w:rsidTr="00CF4B23">
        <w:trPr>
          <w:trHeight w:val="413"/>
        </w:trPr>
        <w:tc>
          <w:tcPr>
            <w:tcW w:w="9170" w:type="dxa"/>
            <w:gridSpan w:val="3"/>
            <w:tcBorders>
              <w:bottom w:val="single" w:sz="8" w:space="0" w:color="000000"/>
            </w:tcBorders>
          </w:tcPr>
          <w:p w14:paraId="206F6AFA" w14:textId="77777777" w:rsidR="005F7F7E" w:rsidRPr="00975B07" w:rsidRDefault="005F7F7E" w:rsidP="00CF795B">
            <w:r>
              <w:rPr>
                <w:rStyle w:val="Firstpagetablebold"/>
              </w:rPr>
              <w:t>Recommendation(s):</w:t>
            </w:r>
            <w:r w:rsidR="007E64F0">
              <w:rPr>
                <w:rStyle w:val="Firstpagetablebold"/>
              </w:rPr>
              <w:t xml:space="preserve"> </w:t>
            </w:r>
            <w:r>
              <w:rPr>
                <w:rStyle w:val="Firstpagetablebold"/>
              </w:rPr>
              <w:t xml:space="preserve">That the </w:t>
            </w:r>
            <w:r w:rsidR="00CF795B">
              <w:rPr>
                <w:rStyle w:val="Firstpagetablebold"/>
              </w:rPr>
              <w:t>Cabinet</w:t>
            </w:r>
            <w:r w:rsidR="00A85B0E">
              <w:rPr>
                <w:rStyle w:val="Firstpagetablebold"/>
              </w:rPr>
              <w:t xml:space="preserve"> resolves to</w:t>
            </w:r>
            <w:r>
              <w:rPr>
                <w:rStyle w:val="Firstpagetablebold"/>
              </w:rPr>
              <w:t>:</w:t>
            </w:r>
          </w:p>
        </w:tc>
      </w:tr>
      <w:tr w:rsidR="0030208D" w:rsidRPr="00975B07" w14:paraId="15830C22" w14:textId="77777777" w:rsidTr="00CF4B23">
        <w:trPr>
          <w:trHeight w:val="714"/>
        </w:trPr>
        <w:tc>
          <w:tcPr>
            <w:tcW w:w="1389" w:type="dxa"/>
            <w:tcBorders>
              <w:top w:val="single" w:sz="8" w:space="0" w:color="000000"/>
              <w:left w:val="single" w:sz="8" w:space="0" w:color="000000"/>
              <w:bottom w:val="single" w:sz="12" w:space="0" w:color="000000" w:themeColor="text1"/>
              <w:right w:val="nil"/>
            </w:tcBorders>
          </w:tcPr>
          <w:p w14:paraId="6E0776F2" w14:textId="781DDC1D" w:rsidR="001A7F68" w:rsidRPr="00975B07" w:rsidRDefault="001A7F68" w:rsidP="00CF4B23">
            <w:pPr>
              <w:numPr>
                <w:ilvl w:val="0"/>
                <w:numId w:val="11"/>
              </w:numPr>
              <w:spacing w:before="120" w:after="0"/>
              <w:ind w:left="318" w:firstLine="0"/>
            </w:pPr>
          </w:p>
        </w:tc>
        <w:tc>
          <w:tcPr>
            <w:tcW w:w="7781" w:type="dxa"/>
            <w:gridSpan w:val="2"/>
            <w:tcBorders>
              <w:top w:val="single" w:sz="8" w:space="0" w:color="000000"/>
              <w:left w:val="nil"/>
              <w:bottom w:val="single" w:sz="12" w:space="0" w:color="000000" w:themeColor="text1"/>
              <w:right w:val="single" w:sz="8" w:space="0" w:color="000000"/>
            </w:tcBorders>
            <w:shd w:val="clear" w:color="auto" w:fill="auto"/>
          </w:tcPr>
          <w:p w14:paraId="5DA81D90" w14:textId="06854661" w:rsidR="00F61106" w:rsidRPr="001356F1" w:rsidRDefault="00A85B0E" w:rsidP="0052595A">
            <w:pPr>
              <w:spacing w:after="0"/>
            </w:pPr>
            <w:r w:rsidRPr="00F54F97">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w:t>
            </w:r>
            <w:r w:rsidR="00A91B9B" w:rsidRPr="005B020D">
              <w:rPr>
                <w:rStyle w:val="Firstpagetablebold"/>
                <w:b w:val="0"/>
                <w:color w:val="auto"/>
              </w:rPr>
              <w:t xml:space="preserve">and performance as </w:t>
            </w:r>
            <w:r w:rsidR="00A91B9B">
              <w:rPr>
                <w:rStyle w:val="Firstpagetablebold"/>
                <w:b w:val="0"/>
              </w:rPr>
              <w:t>at 3</w:t>
            </w:r>
            <w:r w:rsidR="00871859">
              <w:rPr>
                <w:rStyle w:val="Firstpagetablebold"/>
                <w:b w:val="0"/>
              </w:rPr>
              <w:t>0</w:t>
            </w:r>
            <w:r w:rsidR="00A91B9B">
              <w:rPr>
                <w:rStyle w:val="Firstpagetablebold"/>
                <w:b w:val="0"/>
              </w:rPr>
              <w:t xml:space="preserve"> </w:t>
            </w:r>
            <w:r w:rsidR="00871859">
              <w:rPr>
                <w:rStyle w:val="Firstpagetablebold"/>
                <w:b w:val="0"/>
              </w:rPr>
              <w:t>June 202</w:t>
            </w:r>
            <w:r w:rsidR="00A413FC">
              <w:rPr>
                <w:rStyle w:val="Firstpagetablebold"/>
                <w:b w:val="0"/>
              </w:rPr>
              <w:t>2</w:t>
            </w:r>
            <w:r w:rsidR="00AD186F">
              <w:t>.</w:t>
            </w:r>
          </w:p>
        </w:tc>
      </w:tr>
    </w:tbl>
    <w:p w14:paraId="411B7358"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966D42" w:rsidRPr="00975B07" w14:paraId="0048E86D" w14:textId="77777777" w:rsidTr="00CF4B23">
        <w:tc>
          <w:tcPr>
            <w:tcW w:w="9170" w:type="dxa"/>
            <w:gridSpan w:val="2"/>
            <w:tcBorders>
              <w:top w:val="single" w:sz="8" w:space="0" w:color="000000"/>
              <w:left w:val="single" w:sz="8" w:space="0" w:color="000000"/>
              <w:bottom w:val="single" w:sz="8" w:space="0" w:color="000000"/>
              <w:right w:val="single" w:sz="8" w:space="0" w:color="000000"/>
            </w:tcBorders>
            <w:shd w:val="clear" w:color="auto" w:fill="auto"/>
          </w:tcPr>
          <w:p w14:paraId="5524CFE8" w14:textId="77777777" w:rsidR="00966D42" w:rsidRPr="00975B07" w:rsidRDefault="00966D42" w:rsidP="00263EA3">
            <w:pPr>
              <w:jc w:val="center"/>
            </w:pPr>
            <w:r w:rsidRPr="00745BF0">
              <w:rPr>
                <w:rStyle w:val="Firstpagetablebold"/>
              </w:rPr>
              <w:t>Appendices</w:t>
            </w:r>
          </w:p>
        </w:tc>
      </w:tr>
      <w:tr w:rsidR="0030208D" w:rsidRPr="00975B07" w14:paraId="24F7CD61" w14:textId="77777777" w:rsidTr="00CF4B23">
        <w:tc>
          <w:tcPr>
            <w:tcW w:w="2404" w:type="dxa"/>
            <w:tcBorders>
              <w:top w:val="nil"/>
              <w:left w:val="single" w:sz="8" w:space="0" w:color="000000"/>
              <w:bottom w:val="single" w:sz="8" w:space="0" w:color="000000"/>
              <w:right w:val="nil"/>
            </w:tcBorders>
            <w:shd w:val="clear" w:color="auto" w:fill="auto"/>
          </w:tcPr>
          <w:p w14:paraId="52D7B0EC" w14:textId="77777777" w:rsidR="00FB70AC" w:rsidRDefault="00964187" w:rsidP="004A6D2F">
            <w:r>
              <w:t xml:space="preserve">Appendix </w:t>
            </w:r>
            <w:r w:rsidR="003F50F9">
              <w:t>A</w:t>
            </w:r>
          </w:p>
          <w:p w14:paraId="37AB246D" w14:textId="77777777" w:rsidR="00FB70AC" w:rsidRDefault="00FD4134" w:rsidP="004A6D2F">
            <w:r>
              <w:t>Appendix B</w:t>
            </w:r>
          </w:p>
          <w:p w14:paraId="3BA14982" w14:textId="77777777" w:rsidR="007333C3" w:rsidRDefault="00785148" w:rsidP="00FC4861">
            <w:r>
              <w:t xml:space="preserve">Appendix </w:t>
            </w:r>
            <w:r w:rsidR="001E12C0">
              <w:t>C</w:t>
            </w:r>
          </w:p>
          <w:p w14:paraId="1B13B0F5" w14:textId="3B859365" w:rsidR="00D97EBB" w:rsidRPr="00975B07" w:rsidRDefault="00000B65" w:rsidP="00FC4861">
            <w:r>
              <w:t>Appendix D</w:t>
            </w:r>
          </w:p>
        </w:tc>
        <w:tc>
          <w:tcPr>
            <w:tcW w:w="6766" w:type="dxa"/>
            <w:tcBorders>
              <w:top w:val="nil"/>
              <w:left w:val="nil"/>
              <w:bottom w:val="single" w:sz="8" w:space="0" w:color="000000"/>
              <w:right w:val="single" w:sz="8" w:space="0" w:color="000000"/>
            </w:tcBorders>
          </w:tcPr>
          <w:p w14:paraId="5D786D36" w14:textId="77777777" w:rsidR="00A91B9B" w:rsidRDefault="00A91B9B" w:rsidP="00A91B9B">
            <w:r>
              <w:t xml:space="preserve">General Fund - </w:t>
            </w:r>
            <w:r w:rsidR="006633F1">
              <w:t>June 202</w:t>
            </w:r>
            <w:r w:rsidR="00A413FC">
              <w:t>2</w:t>
            </w:r>
            <w:r>
              <w:t xml:space="preserve"> Forecast Outturn</w:t>
            </w:r>
          </w:p>
          <w:p w14:paraId="70029205" w14:textId="77777777" w:rsidR="00304AD6" w:rsidRDefault="00A91B9B" w:rsidP="001E12C0">
            <w:r>
              <w:t>H</w:t>
            </w:r>
            <w:r w:rsidR="00BB420C">
              <w:t xml:space="preserve">ousing </w:t>
            </w:r>
            <w:r>
              <w:t>R</w:t>
            </w:r>
            <w:r w:rsidR="00BB420C">
              <w:t xml:space="preserve">evenue </w:t>
            </w:r>
            <w:r>
              <w:t>A</w:t>
            </w:r>
            <w:r w:rsidR="00BB420C">
              <w:t>ccount</w:t>
            </w:r>
            <w:r>
              <w:t xml:space="preserve"> - </w:t>
            </w:r>
            <w:r w:rsidR="006633F1">
              <w:t>June 202</w:t>
            </w:r>
            <w:r w:rsidR="00A413FC">
              <w:t>2</w:t>
            </w:r>
            <w:r>
              <w:t xml:space="preserve"> Forecast Outturn</w:t>
            </w:r>
          </w:p>
          <w:p w14:paraId="2DA8CF1E" w14:textId="77777777" w:rsidR="00FC4861" w:rsidRDefault="00FC4861" w:rsidP="00871859">
            <w:r>
              <w:t xml:space="preserve">Capital Programme – </w:t>
            </w:r>
            <w:r w:rsidR="00871859">
              <w:t>June</w:t>
            </w:r>
            <w:r>
              <w:t xml:space="preserve"> 20</w:t>
            </w:r>
            <w:r w:rsidR="006633F1">
              <w:t>2</w:t>
            </w:r>
            <w:r w:rsidR="00A413FC">
              <w:t>2</w:t>
            </w:r>
          </w:p>
          <w:p w14:paraId="69F2DC3C" w14:textId="0E744B68" w:rsidR="00D97EBB" w:rsidRPr="00964187" w:rsidRDefault="00000B65" w:rsidP="00871859">
            <w:r>
              <w:t>Corporate KPI’s June 2022</w:t>
            </w:r>
          </w:p>
        </w:tc>
      </w:tr>
    </w:tbl>
    <w:p w14:paraId="518EC513" w14:textId="77777777" w:rsidR="0040736F" w:rsidRPr="00871859" w:rsidRDefault="00121043" w:rsidP="004A6D2F">
      <w:pPr>
        <w:pStyle w:val="Heading1"/>
        <w:rPr>
          <w:color w:val="auto"/>
        </w:rPr>
      </w:pPr>
      <w:r w:rsidRPr="00871859">
        <w:rPr>
          <w:color w:val="auto"/>
        </w:rPr>
        <w:t>I</w:t>
      </w:r>
      <w:r w:rsidR="00F66DCA" w:rsidRPr="00871859">
        <w:rPr>
          <w:color w:val="auto"/>
        </w:rPr>
        <w:t>ntroduction and b</w:t>
      </w:r>
      <w:r w:rsidR="00151888" w:rsidRPr="00871859">
        <w:rPr>
          <w:color w:val="auto"/>
        </w:rPr>
        <w:t>ackground</w:t>
      </w:r>
      <w:r w:rsidR="00404032" w:rsidRPr="00871859">
        <w:rPr>
          <w:color w:val="auto"/>
        </w:rPr>
        <w:t xml:space="preserve"> </w:t>
      </w:r>
    </w:p>
    <w:p w14:paraId="6D2B44A3" w14:textId="77777777" w:rsidR="00FB70AC" w:rsidRPr="006633F1" w:rsidRDefault="00FB70AC" w:rsidP="00FB70AC">
      <w:pPr>
        <w:pStyle w:val="ListParagraph"/>
        <w:rPr>
          <w:color w:val="auto"/>
        </w:rPr>
      </w:pPr>
      <w:r w:rsidRPr="00871859">
        <w:rPr>
          <w:color w:val="auto"/>
        </w:rPr>
        <w:t xml:space="preserve">This report </w:t>
      </w:r>
      <w:r w:rsidR="007333C3" w:rsidRPr="00871859">
        <w:rPr>
          <w:color w:val="auto"/>
        </w:rPr>
        <w:t xml:space="preserve">updates the </w:t>
      </w:r>
      <w:r w:rsidR="00406D7A" w:rsidRPr="00871859">
        <w:rPr>
          <w:color w:val="auto"/>
        </w:rPr>
        <w:t>Cabinet</w:t>
      </w:r>
      <w:r w:rsidR="007333C3" w:rsidRPr="00871859">
        <w:rPr>
          <w:color w:val="auto"/>
        </w:rPr>
        <w:t xml:space="preserve"> on the</w:t>
      </w:r>
      <w:r w:rsidR="003F50F9" w:rsidRPr="00871859">
        <w:rPr>
          <w:color w:val="auto"/>
        </w:rPr>
        <w:t xml:space="preserve"> </w:t>
      </w:r>
      <w:r w:rsidR="003F50F9" w:rsidRPr="00F61106">
        <w:rPr>
          <w:color w:val="auto"/>
        </w:rPr>
        <w:t>financial</w:t>
      </w:r>
      <w:r w:rsidR="00A91B9B" w:rsidRPr="00F61106">
        <w:rPr>
          <w:color w:val="auto"/>
        </w:rPr>
        <w:t xml:space="preserve">, </w:t>
      </w:r>
      <w:r w:rsidR="00A91B9B" w:rsidRPr="005B020D">
        <w:rPr>
          <w:color w:val="auto"/>
        </w:rPr>
        <w:t>corporate p</w:t>
      </w:r>
      <w:r w:rsidR="007333C3" w:rsidRPr="005B020D">
        <w:rPr>
          <w:color w:val="auto"/>
        </w:rPr>
        <w:t xml:space="preserve">erformance </w:t>
      </w:r>
      <w:r w:rsidR="00A91B9B" w:rsidRPr="00871859">
        <w:rPr>
          <w:color w:val="auto"/>
        </w:rPr>
        <w:t xml:space="preserve">and corporate risk positions </w:t>
      </w:r>
      <w:r w:rsidR="007333C3" w:rsidRPr="00871859">
        <w:rPr>
          <w:color w:val="auto"/>
        </w:rPr>
        <w:t>of the Council as at 3</w:t>
      </w:r>
      <w:r w:rsidR="00871859">
        <w:rPr>
          <w:color w:val="auto"/>
        </w:rPr>
        <w:t>0</w:t>
      </w:r>
      <w:r w:rsidR="00871859" w:rsidRPr="00871859">
        <w:rPr>
          <w:color w:val="auto"/>
          <w:vertAlign w:val="superscript"/>
        </w:rPr>
        <w:t>th</w:t>
      </w:r>
      <w:r w:rsidR="00871859">
        <w:rPr>
          <w:color w:val="auto"/>
        </w:rPr>
        <w:t xml:space="preserve"> June 202</w:t>
      </w:r>
      <w:r w:rsidR="00A413FC">
        <w:rPr>
          <w:color w:val="auto"/>
        </w:rPr>
        <w:t>2</w:t>
      </w:r>
      <w:r w:rsidR="007333C3" w:rsidRPr="00871859">
        <w:rPr>
          <w:color w:val="auto"/>
        </w:rPr>
        <w:t xml:space="preserve">. </w:t>
      </w:r>
      <w:r w:rsidRPr="00871859">
        <w:rPr>
          <w:color w:val="auto"/>
        </w:rPr>
        <w:t xml:space="preserve"> A brief summary is as </w:t>
      </w:r>
      <w:r w:rsidRPr="006633F1">
        <w:rPr>
          <w:color w:val="auto"/>
        </w:rPr>
        <w:t>follows:</w:t>
      </w:r>
    </w:p>
    <w:p w14:paraId="2FF52025" w14:textId="77777777" w:rsidR="00FB70AC" w:rsidRPr="006633F1" w:rsidRDefault="002A15EC" w:rsidP="003976F3">
      <w:pPr>
        <w:pStyle w:val="Heading1"/>
        <w:rPr>
          <w:color w:val="auto"/>
        </w:rPr>
      </w:pPr>
      <w:r w:rsidRPr="006633F1">
        <w:rPr>
          <w:color w:val="auto"/>
        </w:rPr>
        <w:t xml:space="preserve">Financial </w:t>
      </w:r>
      <w:r w:rsidR="006C483B" w:rsidRPr="006633F1">
        <w:rPr>
          <w:color w:val="auto"/>
        </w:rPr>
        <w:t>Position</w:t>
      </w:r>
    </w:p>
    <w:p w14:paraId="69DEF9E4" w14:textId="77777777" w:rsidR="00136FB7" w:rsidRPr="00B834BD" w:rsidRDefault="00C2674F" w:rsidP="00376EE5">
      <w:pPr>
        <w:pStyle w:val="ListParagraph"/>
        <w:numPr>
          <w:ilvl w:val="1"/>
          <w:numId w:val="39"/>
        </w:numPr>
        <w:rPr>
          <w:color w:val="auto"/>
        </w:rPr>
      </w:pPr>
      <w:r w:rsidRPr="006633F1">
        <w:rPr>
          <w:rFonts w:cs="Arial"/>
          <w:b/>
          <w:color w:val="auto"/>
        </w:rPr>
        <w:t>General Fund</w:t>
      </w:r>
      <w:r w:rsidRPr="006633F1">
        <w:rPr>
          <w:rFonts w:cs="Arial"/>
          <w:color w:val="auto"/>
        </w:rPr>
        <w:t xml:space="preserve"> – </w:t>
      </w:r>
      <w:r w:rsidR="00136EB8" w:rsidRPr="006633F1">
        <w:rPr>
          <w:rFonts w:cs="Arial"/>
          <w:color w:val="auto"/>
        </w:rPr>
        <w:t>t</w:t>
      </w:r>
      <w:r w:rsidR="00360AA3" w:rsidRPr="006633F1">
        <w:rPr>
          <w:rFonts w:cs="Arial"/>
          <w:color w:val="auto"/>
        </w:rPr>
        <w:t xml:space="preserve">he </w:t>
      </w:r>
      <w:r w:rsidRPr="006633F1">
        <w:rPr>
          <w:rFonts w:cs="Arial"/>
          <w:color w:val="auto"/>
        </w:rPr>
        <w:t>outturn po</w:t>
      </w:r>
      <w:r w:rsidR="00E001B2" w:rsidRPr="006633F1">
        <w:rPr>
          <w:rFonts w:cs="Arial"/>
          <w:color w:val="auto"/>
        </w:rPr>
        <w:t xml:space="preserve">sition </w:t>
      </w:r>
      <w:r w:rsidR="00360AA3" w:rsidRPr="006633F1">
        <w:rPr>
          <w:rFonts w:cs="Arial"/>
          <w:color w:val="auto"/>
        </w:rPr>
        <w:t xml:space="preserve">is </w:t>
      </w:r>
      <w:r w:rsidR="00E141C6" w:rsidRPr="006633F1">
        <w:rPr>
          <w:rFonts w:cs="Arial"/>
          <w:color w:val="auto"/>
        </w:rPr>
        <w:t>forecast</w:t>
      </w:r>
      <w:r w:rsidR="00F54A95">
        <w:rPr>
          <w:rFonts w:cs="Arial"/>
          <w:color w:val="auto"/>
        </w:rPr>
        <w:t>ing an favourable variance of £0.100 million</w:t>
      </w:r>
      <w:r w:rsidR="006633F1" w:rsidRPr="006633F1">
        <w:rPr>
          <w:rFonts w:cs="Arial"/>
          <w:color w:val="auto"/>
        </w:rPr>
        <w:t xml:space="preserve"> against the net budget ag</w:t>
      </w:r>
      <w:r w:rsidR="00A413FC">
        <w:rPr>
          <w:rFonts w:cs="Arial"/>
          <w:color w:val="auto"/>
        </w:rPr>
        <w:t>reed by Council in February 2022 of £22.382</w:t>
      </w:r>
      <w:r w:rsidR="006633F1" w:rsidRPr="006633F1">
        <w:rPr>
          <w:rFonts w:cs="Arial"/>
          <w:color w:val="auto"/>
        </w:rPr>
        <w:t xml:space="preserve"> million</w:t>
      </w:r>
      <w:r w:rsidR="00E141C6" w:rsidRPr="006633F1">
        <w:rPr>
          <w:rFonts w:cs="Arial"/>
          <w:color w:val="auto"/>
        </w:rPr>
        <w:t>;</w:t>
      </w:r>
      <w:r w:rsidR="00734425">
        <w:rPr>
          <w:rFonts w:cs="Arial"/>
          <w:color w:val="auto"/>
        </w:rPr>
        <w:t xml:space="preserve"> </w:t>
      </w:r>
    </w:p>
    <w:p w14:paraId="2A25807D" w14:textId="77777777" w:rsidR="001121C1" w:rsidRPr="006633F1" w:rsidRDefault="00C2674F" w:rsidP="00376EE5">
      <w:pPr>
        <w:pStyle w:val="ListParagraph"/>
        <w:numPr>
          <w:ilvl w:val="1"/>
          <w:numId w:val="39"/>
        </w:numPr>
        <w:rPr>
          <w:color w:val="auto"/>
        </w:rPr>
      </w:pPr>
      <w:r w:rsidRPr="006633F1">
        <w:rPr>
          <w:rFonts w:cs="Arial"/>
          <w:b/>
          <w:color w:val="auto"/>
        </w:rPr>
        <w:lastRenderedPageBreak/>
        <w:t>Housing Revenue Account</w:t>
      </w:r>
      <w:r w:rsidRPr="006633F1">
        <w:rPr>
          <w:rFonts w:cs="Arial"/>
          <w:color w:val="auto"/>
        </w:rPr>
        <w:t xml:space="preserve"> – </w:t>
      </w:r>
      <w:r w:rsidR="00ED108A" w:rsidRPr="006633F1">
        <w:rPr>
          <w:rFonts w:cs="Arial"/>
          <w:color w:val="auto"/>
        </w:rPr>
        <w:t xml:space="preserve">The budgeted surplus agreed </w:t>
      </w:r>
      <w:r w:rsidR="00406D7A" w:rsidRPr="006633F1">
        <w:rPr>
          <w:rFonts w:cs="Arial"/>
          <w:color w:val="auto"/>
        </w:rPr>
        <w:t>by the</w:t>
      </w:r>
      <w:r w:rsidR="00ED108A" w:rsidRPr="006633F1">
        <w:rPr>
          <w:rFonts w:cs="Arial"/>
          <w:color w:val="auto"/>
        </w:rPr>
        <w:t xml:space="preserve"> Council in F</w:t>
      </w:r>
      <w:r w:rsidR="00AB6B54" w:rsidRPr="006633F1">
        <w:rPr>
          <w:rFonts w:cs="Arial"/>
          <w:color w:val="auto"/>
        </w:rPr>
        <w:t>ebruary 20</w:t>
      </w:r>
      <w:r w:rsidR="006633F1">
        <w:rPr>
          <w:rFonts w:cs="Arial"/>
          <w:color w:val="auto"/>
        </w:rPr>
        <w:t>2</w:t>
      </w:r>
      <w:r w:rsidR="00A413FC">
        <w:rPr>
          <w:rFonts w:cs="Arial"/>
          <w:color w:val="auto"/>
        </w:rPr>
        <w:t>2</w:t>
      </w:r>
      <w:r w:rsidR="00AB6B54" w:rsidRPr="006633F1">
        <w:rPr>
          <w:rFonts w:cs="Arial"/>
          <w:color w:val="auto"/>
        </w:rPr>
        <w:t xml:space="preserve"> was £0.</w:t>
      </w:r>
      <w:r w:rsidR="00A413FC">
        <w:rPr>
          <w:rFonts w:cs="Arial"/>
          <w:color w:val="auto"/>
        </w:rPr>
        <w:t>064</w:t>
      </w:r>
      <w:r w:rsidR="00AB6B54" w:rsidRPr="006633F1">
        <w:rPr>
          <w:rFonts w:cs="Arial"/>
          <w:color w:val="auto"/>
        </w:rPr>
        <w:t xml:space="preserve"> million</w:t>
      </w:r>
      <w:r w:rsidR="00A413FC">
        <w:rPr>
          <w:rFonts w:cs="Arial"/>
          <w:color w:val="auto"/>
        </w:rPr>
        <w:t xml:space="preserve"> and</w:t>
      </w:r>
      <w:r w:rsidR="0097428E">
        <w:rPr>
          <w:rFonts w:cs="Arial"/>
          <w:color w:val="auto"/>
        </w:rPr>
        <w:t xml:space="preserve"> is currently </w:t>
      </w:r>
      <w:r w:rsidR="00A413FC">
        <w:rPr>
          <w:rFonts w:cs="Arial"/>
          <w:color w:val="auto"/>
        </w:rPr>
        <w:t>on budget</w:t>
      </w:r>
      <w:r w:rsidR="00AF7E6D" w:rsidRPr="006633F1">
        <w:rPr>
          <w:rFonts w:cs="Arial"/>
          <w:color w:val="auto"/>
        </w:rPr>
        <w:t>;</w:t>
      </w:r>
      <w:r w:rsidR="00136EB8" w:rsidRPr="006633F1">
        <w:rPr>
          <w:rFonts w:cs="Arial"/>
          <w:color w:val="auto"/>
        </w:rPr>
        <w:t xml:space="preserve"> </w:t>
      </w:r>
    </w:p>
    <w:p w14:paraId="7BBEFB05" w14:textId="50C63663" w:rsidR="00251AD9" w:rsidRPr="00686C24" w:rsidRDefault="00EA78BE" w:rsidP="00376EE5">
      <w:pPr>
        <w:pStyle w:val="ListParagraph"/>
        <w:numPr>
          <w:ilvl w:val="1"/>
          <w:numId w:val="39"/>
        </w:numPr>
        <w:rPr>
          <w:color w:val="auto"/>
        </w:rPr>
      </w:pPr>
      <w:r w:rsidRPr="006633F1">
        <w:rPr>
          <w:rFonts w:cs="Arial"/>
          <w:b/>
          <w:color w:val="auto"/>
        </w:rPr>
        <w:t>Capital Programme</w:t>
      </w:r>
      <w:r w:rsidRPr="006633F1">
        <w:rPr>
          <w:rFonts w:cs="Arial"/>
          <w:color w:val="auto"/>
        </w:rPr>
        <w:t xml:space="preserve"> – </w:t>
      </w:r>
      <w:r w:rsidR="00CD211A" w:rsidRPr="006633F1">
        <w:rPr>
          <w:color w:val="auto"/>
        </w:rPr>
        <w:t>The budget, as approved at Council in Feb</w:t>
      </w:r>
      <w:r w:rsidR="00406D7A" w:rsidRPr="006633F1">
        <w:rPr>
          <w:color w:val="auto"/>
        </w:rPr>
        <w:t>ruary</w:t>
      </w:r>
      <w:r w:rsidR="00251AD9" w:rsidRPr="006633F1">
        <w:rPr>
          <w:color w:val="auto"/>
        </w:rPr>
        <w:t xml:space="preserve"> 202</w:t>
      </w:r>
      <w:r w:rsidR="00A413FC">
        <w:rPr>
          <w:color w:val="auto"/>
        </w:rPr>
        <w:t>2</w:t>
      </w:r>
      <w:r w:rsidR="00251AD9" w:rsidRPr="006633F1">
        <w:rPr>
          <w:color w:val="auto"/>
        </w:rPr>
        <w:t>, was set at £</w:t>
      </w:r>
      <w:r w:rsidR="00A413FC">
        <w:rPr>
          <w:color w:val="auto"/>
        </w:rPr>
        <w:t>210.981</w:t>
      </w:r>
      <w:r w:rsidR="00CD211A" w:rsidRPr="006633F1">
        <w:rPr>
          <w:color w:val="auto"/>
        </w:rPr>
        <w:t xml:space="preserve"> million</w:t>
      </w:r>
      <w:r w:rsidR="00476CDE" w:rsidRPr="006633F1">
        <w:rPr>
          <w:color w:val="auto"/>
        </w:rPr>
        <w:t xml:space="preserve"> with </w:t>
      </w:r>
      <w:r w:rsidR="009477B5" w:rsidRPr="006633F1">
        <w:rPr>
          <w:color w:val="auto"/>
        </w:rPr>
        <w:t>carry forward</w:t>
      </w:r>
      <w:r w:rsidR="00476CDE" w:rsidRPr="006633F1">
        <w:rPr>
          <w:color w:val="auto"/>
        </w:rPr>
        <w:t xml:space="preserve"> of unspent balances in 20</w:t>
      </w:r>
      <w:r w:rsidR="006633F1" w:rsidRPr="006633F1">
        <w:rPr>
          <w:color w:val="auto"/>
        </w:rPr>
        <w:t>2</w:t>
      </w:r>
      <w:r w:rsidR="00A413FC">
        <w:rPr>
          <w:color w:val="auto"/>
        </w:rPr>
        <w:t>1-22</w:t>
      </w:r>
      <w:r w:rsidR="00476CDE" w:rsidRPr="006633F1">
        <w:rPr>
          <w:color w:val="auto"/>
        </w:rPr>
        <w:t xml:space="preserve"> </w:t>
      </w:r>
      <w:r w:rsidR="00A413FC">
        <w:rPr>
          <w:color w:val="auto"/>
        </w:rPr>
        <w:t xml:space="preserve">and a </w:t>
      </w:r>
      <w:proofErr w:type="spellStart"/>
      <w:r w:rsidR="00A413FC">
        <w:rPr>
          <w:color w:val="auto"/>
        </w:rPr>
        <w:t>reprofile</w:t>
      </w:r>
      <w:proofErr w:type="spellEnd"/>
      <w:r w:rsidR="00A413FC">
        <w:rPr>
          <w:color w:val="auto"/>
        </w:rPr>
        <w:t xml:space="preserve"> of the HRA budget,</w:t>
      </w:r>
      <w:r w:rsidR="00896726">
        <w:rPr>
          <w:color w:val="auto"/>
        </w:rPr>
        <w:t xml:space="preserve"> </w:t>
      </w:r>
      <w:r w:rsidR="00476CDE" w:rsidRPr="006633F1">
        <w:rPr>
          <w:color w:val="auto"/>
        </w:rPr>
        <w:t xml:space="preserve">this was </w:t>
      </w:r>
      <w:r w:rsidR="009477B5" w:rsidRPr="006633F1">
        <w:rPr>
          <w:color w:val="auto"/>
        </w:rPr>
        <w:t xml:space="preserve">subsequently revised to </w:t>
      </w:r>
      <w:r w:rsidR="006633F1" w:rsidRPr="006633F1">
        <w:rPr>
          <w:color w:val="auto"/>
        </w:rPr>
        <w:t xml:space="preserve">the latest budget of </w:t>
      </w:r>
      <w:r w:rsidR="009477B5" w:rsidRPr="006633F1">
        <w:rPr>
          <w:color w:val="auto"/>
        </w:rPr>
        <w:t>£</w:t>
      </w:r>
      <w:r w:rsidR="00CB3F4D">
        <w:rPr>
          <w:color w:val="auto"/>
        </w:rPr>
        <w:t>208.714</w:t>
      </w:r>
      <w:r w:rsidR="009477B5" w:rsidRPr="006633F1">
        <w:rPr>
          <w:color w:val="auto"/>
        </w:rPr>
        <w:t xml:space="preserve"> million</w:t>
      </w:r>
      <w:r w:rsidR="00376EE5" w:rsidRPr="006633F1">
        <w:rPr>
          <w:color w:val="auto"/>
        </w:rPr>
        <w:t xml:space="preserve">. </w:t>
      </w:r>
      <w:r w:rsidR="00251AD9" w:rsidRPr="006633F1">
        <w:rPr>
          <w:color w:val="auto"/>
        </w:rPr>
        <w:t xml:space="preserve">The outturn forecast position is </w:t>
      </w:r>
      <w:r w:rsidR="006633F1" w:rsidRPr="006633F1">
        <w:rPr>
          <w:color w:val="auto"/>
        </w:rPr>
        <w:t>currently</w:t>
      </w:r>
      <w:r w:rsidR="00251AD9" w:rsidRPr="006633F1">
        <w:rPr>
          <w:color w:val="auto"/>
        </w:rPr>
        <w:t xml:space="preserve"> £</w:t>
      </w:r>
      <w:r w:rsidR="006633F1" w:rsidRPr="006633F1">
        <w:rPr>
          <w:color w:val="auto"/>
        </w:rPr>
        <w:t>1</w:t>
      </w:r>
      <w:r w:rsidR="00896726">
        <w:rPr>
          <w:color w:val="auto"/>
        </w:rPr>
        <w:t>8</w:t>
      </w:r>
      <w:r w:rsidR="00CB3F4D">
        <w:rPr>
          <w:color w:val="auto"/>
        </w:rPr>
        <w:t>4</w:t>
      </w:r>
      <w:r w:rsidR="00896726">
        <w:rPr>
          <w:color w:val="auto"/>
        </w:rPr>
        <w:t>.</w:t>
      </w:r>
      <w:r w:rsidR="00CB3F4D">
        <w:rPr>
          <w:color w:val="auto"/>
        </w:rPr>
        <w:t>726</w:t>
      </w:r>
      <w:r w:rsidR="00251AD9" w:rsidRPr="006633F1">
        <w:rPr>
          <w:color w:val="auto"/>
        </w:rPr>
        <w:t xml:space="preserve"> million</w:t>
      </w:r>
      <w:r w:rsidR="00175CC5" w:rsidRPr="006633F1">
        <w:rPr>
          <w:color w:val="auto"/>
        </w:rPr>
        <w:t xml:space="preserve"> with </w:t>
      </w:r>
      <w:r w:rsidR="006633F1" w:rsidRPr="006633F1">
        <w:rPr>
          <w:color w:val="auto"/>
        </w:rPr>
        <w:t xml:space="preserve">a total </w:t>
      </w:r>
      <w:r w:rsidR="00896726">
        <w:rPr>
          <w:color w:val="auto"/>
        </w:rPr>
        <w:t>slippage</w:t>
      </w:r>
      <w:r w:rsidR="006633F1" w:rsidRPr="006633F1">
        <w:rPr>
          <w:color w:val="auto"/>
        </w:rPr>
        <w:t xml:space="preserve"> of £</w:t>
      </w:r>
      <w:r w:rsidR="00896726">
        <w:rPr>
          <w:color w:val="auto"/>
        </w:rPr>
        <w:t>2</w:t>
      </w:r>
      <w:r w:rsidR="00CB3F4D">
        <w:rPr>
          <w:color w:val="auto"/>
        </w:rPr>
        <w:t>3</w:t>
      </w:r>
      <w:r w:rsidR="00896726">
        <w:rPr>
          <w:color w:val="auto"/>
        </w:rPr>
        <w:t>.</w:t>
      </w:r>
      <w:r w:rsidR="00CB3F4D">
        <w:rPr>
          <w:color w:val="auto"/>
        </w:rPr>
        <w:t>988</w:t>
      </w:r>
      <w:r w:rsidR="006633F1" w:rsidRPr="006633F1">
        <w:rPr>
          <w:color w:val="auto"/>
        </w:rPr>
        <w:t xml:space="preserve"> million.</w:t>
      </w:r>
    </w:p>
    <w:p w14:paraId="68B0F72F" w14:textId="2DA64784" w:rsidR="00C2674F" w:rsidRPr="003A362C" w:rsidRDefault="00C2674F" w:rsidP="00FB70AC">
      <w:pPr>
        <w:pStyle w:val="ListParagraph"/>
        <w:rPr>
          <w:color w:val="000000" w:themeColor="text1"/>
        </w:rPr>
      </w:pPr>
      <w:r w:rsidRPr="00000B65">
        <w:rPr>
          <w:rStyle w:val="Heading1Char"/>
          <w:color w:val="000000" w:themeColor="text1"/>
        </w:rPr>
        <w:t xml:space="preserve">Performance </w:t>
      </w:r>
      <w:r w:rsidR="00D45E2B" w:rsidRPr="00000B65">
        <w:rPr>
          <w:color w:val="000000" w:themeColor="text1"/>
        </w:rPr>
        <w:t>–</w:t>
      </w:r>
      <w:r w:rsidR="002E6433" w:rsidRPr="00000B65">
        <w:rPr>
          <w:rFonts w:eastAsia="Calibri" w:cs="Arial"/>
          <w:color w:val="000000" w:themeColor="text1"/>
        </w:rPr>
        <w:t xml:space="preserve"> There are 2</w:t>
      </w:r>
      <w:r w:rsidR="00000B65" w:rsidRPr="00000B65">
        <w:rPr>
          <w:rFonts w:eastAsia="Calibri" w:cs="Arial"/>
          <w:color w:val="000000" w:themeColor="text1"/>
        </w:rPr>
        <w:t>5</w:t>
      </w:r>
      <w:r w:rsidR="002E6433" w:rsidRPr="00000B65">
        <w:rPr>
          <w:rFonts w:eastAsia="Calibri" w:cs="Arial"/>
          <w:color w:val="000000" w:themeColor="text1"/>
        </w:rPr>
        <w:t xml:space="preserve"> Corporate Indicators fo</w:t>
      </w:r>
      <w:r w:rsidR="005E11ED">
        <w:rPr>
          <w:rFonts w:eastAsia="Calibri" w:cs="Arial"/>
          <w:color w:val="000000" w:themeColor="text1"/>
        </w:rPr>
        <w:t xml:space="preserve">r the current financial year, </w:t>
      </w:r>
      <w:r w:rsidR="0053376D">
        <w:rPr>
          <w:rFonts w:eastAsia="Calibri" w:cs="Arial"/>
          <w:color w:val="000000" w:themeColor="text1"/>
        </w:rPr>
        <w:t xml:space="preserve">9 </w:t>
      </w:r>
      <w:r w:rsidR="002E6433" w:rsidRPr="00000B65">
        <w:rPr>
          <w:rFonts w:eastAsia="Calibri" w:cs="Arial"/>
          <w:color w:val="000000" w:themeColor="text1"/>
        </w:rPr>
        <w:t>of whic</w:t>
      </w:r>
      <w:r w:rsidR="00000B65" w:rsidRPr="00000B65">
        <w:rPr>
          <w:rFonts w:eastAsia="Calibri" w:cs="Arial"/>
          <w:color w:val="000000" w:themeColor="text1"/>
        </w:rPr>
        <w:t>h are rated Green (on target); 2</w:t>
      </w:r>
      <w:r w:rsidR="002E6433" w:rsidRPr="00000B65">
        <w:rPr>
          <w:rFonts w:eastAsia="Calibri" w:cs="Arial"/>
          <w:color w:val="000000" w:themeColor="text1"/>
        </w:rPr>
        <w:t xml:space="preserve"> are rated Amber (within a t</w:t>
      </w:r>
      <w:r w:rsidR="00000B65" w:rsidRPr="00000B65">
        <w:rPr>
          <w:rFonts w:eastAsia="Calibri" w:cs="Arial"/>
          <w:color w:val="000000" w:themeColor="text1"/>
        </w:rPr>
        <w:t>olerance of target) and 3</w:t>
      </w:r>
      <w:r w:rsidR="002E6433" w:rsidRPr="00000B65">
        <w:rPr>
          <w:rFonts w:eastAsia="Calibri" w:cs="Arial"/>
          <w:color w:val="000000" w:themeColor="text1"/>
        </w:rPr>
        <w:t xml:space="preserve"> </w:t>
      </w:r>
      <w:r w:rsidR="00000B65" w:rsidRPr="00000B65">
        <w:rPr>
          <w:rFonts w:eastAsia="Calibri" w:cs="Arial"/>
          <w:color w:val="000000" w:themeColor="text1"/>
        </w:rPr>
        <w:t>are</w:t>
      </w:r>
      <w:r w:rsidR="002E6433" w:rsidRPr="00000B65">
        <w:rPr>
          <w:rFonts w:eastAsia="Calibri" w:cs="Arial"/>
          <w:color w:val="000000" w:themeColor="text1"/>
        </w:rPr>
        <w:t xml:space="preserve"> rated Red (outside of target), there are also </w:t>
      </w:r>
      <w:r w:rsidR="0053376D">
        <w:rPr>
          <w:rFonts w:eastAsia="Calibri" w:cs="Arial"/>
          <w:color w:val="000000" w:themeColor="text1"/>
        </w:rPr>
        <w:t>11</w:t>
      </w:r>
      <w:r w:rsidR="002E6433" w:rsidRPr="00000B65">
        <w:rPr>
          <w:rFonts w:eastAsia="Calibri" w:cs="Arial"/>
          <w:color w:val="000000" w:themeColor="text1"/>
        </w:rPr>
        <w:t xml:space="preserve"> indicators </w:t>
      </w:r>
      <w:r w:rsidR="00000B65" w:rsidRPr="00000B65">
        <w:rPr>
          <w:rFonts w:eastAsia="Calibri" w:cs="Arial"/>
          <w:color w:val="000000" w:themeColor="text1"/>
        </w:rPr>
        <w:t>which are tracking indicators or have no data available</w:t>
      </w:r>
      <w:r w:rsidR="00000B65" w:rsidRPr="003A362C">
        <w:rPr>
          <w:rFonts w:eastAsia="Calibri" w:cs="Arial"/>
          <w:color w:val="000000" w:themeColor="text1"/>
        </w:rPr>
        <w:t>.</w:t>
      </w:r>
      <w:r w:rsidR="003763B6" w:rsidRPr="003A362C">
        <w:rPr>
          <w:rFonts w:eastAsia="Calibri" w:cs="Arial"/>
          <w:color w:val="000000" w:themeColor="text1"/>
        </w:rPr>
        <w:t xml:space="preserve">  More de</w:t>
      </w:r>
      <w:r w:rsidR="00686C24" w:rsidRPr="003A362C">
        <w:rPr>
          <w:rFonts w:eastAsia="Calibri" w:cs="Arial"/>
          <w:color w:val="000000" w:themeColor="text1"/>
        </w:rPr>
        <w:t>tails can be found in paragraph 1</w:t>
      </w:r>
      <w:r w:rsidR="005E11ED">
        <w:rPr>
          <w:rFonts w:eastAsia="Calibri" w:cs="Arial"/>
          <w:color w:val="000000" w:themeColor="text1"/>
        </w:rPr>
        <w:t>5</w:t>
      </w:r>
      <w:r w:rsidR="00686C24" w:rsidRPr="003A362C">
        <w:rPr>
          <w:rFonts w:eastAsia="Calibri" w:cs="Arial"/>
          <w:color w:val="000000" w:themeColor="text1"/>
        </w:rPr>
        <w:t>.</w:t>
      </w:r>
      <w:r w:rsidR="003763B6" w:rsidRPr="003A362C">
        <w:rPr>
          <w:rFonts w:eastAsia="Calibri" w:cs="Arial"/>
          <w:color w:val="000000" w:themeColor="text1"/>
        </w:rPr>
        <w:t xml:space="preserve"> </w:t>
      </w:r>
    </w:p>
    <w:p w14:paraId="6807B664" w14:textId="34D4A13A" w:rsidR="00C2674F" w:rsidRPr="003A362C" w:rsidRDefault="006C483B" w:rsidP="00FB70AC">
      <w:pPr>
        <w:pStyle w:val="ListParagraph"/>
        <w:rPr>
          <w:color w:val="000000" w:themeColor="text1"/>
        </w:rPr>
      </w:pPr>
      <w:r w:rsidRPr="003A362C">
        <w:rPr>
          <w:rFonts w:cs="Arial"/>
          <w:b/>
          <w:color w:val="000000" w:themeColor="text1"/>
        </w:rPr>
        <w:t xml:space="preserve">Corporate </w:t>
      </w:r>
      <w:r w:rsidR="00C2674F" w:rsidRPr="003A362C">
        <w:rPr>
          <w:rFonts w:cs="Arial"/>
          <w:b/>
          <w:color w:val="000000" w:themeColor="text1"/>
        </w:rPr>
        <w:t>Risk Management</w:t>
      </w:r>
      <w:r w:rsidR="00650642" w:rsidRPr="003A362C">
        <w:rPr>
          <w:rFonts w:cs="Arial"/>
          <w:color w:val="000000" w:themeColor="text1"/>
        </w:rPr>
        <w:t xml:space="preserve"> – There </w:t>
      </w:r>
      <w:r w:rsidR="00251AD9" w:rsidRPr="003A362C">
        <w:rPr>
          <w:rFonts w:cs="Arial"/>
          <w:color w:val="000000" w:themeColor="text1"/>
        </w:rPr>
        <w:t xml:space="preserve">are </w:t>
      </w:r>
      <w:r w:rsidR="003A362C" w:rsidRPr="003A362C">
        <w:rPr>
          <w:rFonts w:cs="Arial"/>
          <w:color w:val="000000" w:themeColor="text1"/>
        </w:rPr>
        <w:t>five</w:t>
      </w:r>
      <w:r w:rsidR="00E72133" w:rsidRPr="003A362C">
        <w:rPr>
          <w:rFonts w:cs="Arial"/>
          <w:color w:val="000000" w:themeColor="text1"/>
        </w:rPr>
        <w:t xml:space="preserve"> </w:t>
      </w:r>
      <w:r w:rsidR="000119EC" w:rsidRPr="003A362C">
        <w:rPr>
          <w:rFonts w:cs="Arial"/>
          <w:color w:val="000000" w:themeColor="text1"/>
        </w:rPr>
        <w:t xml:space="preserve">red </w:t>
      </w:r>
      <w:r w:rsidR="00C2674F" w:rsidRPr="003A362C">
        <w:rPr>
          <w:rFonts w:cs="Arial"/>
          <w:color w:val="000000" w:themeColor="text1"/>
        </w:rPr>
        <w:t>corporate risk</w:t>
      </w:r>
      <w:r w:rsidR="00BB420C" w:rsidRPr="003A362C">
        <w:rPr>
          <w:rFonts w:cs="Arial"/>
          <w:color w:val="000000" w:themeColor="text1"/>
        </w:rPr>
        <w:t>s</w:t>
      </w:r>
      <w:r w:rsidR="00C2674F" w:rsidRPr="003A362C">
        <w:rPr>
          <w:rFonts w:cs="Arial"/>
          <w:color w:val="000000" w:themeColor="text1"/>
        </w:rPr>
        <w:t xml:space="preserve"> at </w:t>
      </w:r>
      <w:r w:rsidR="007C282E" w:rsidRPr="003A362C">
        <w:rPr>
          <w:rFonts w:cs="Arial"/>
          <w:color w:val="000000" w:themeColor="text1"/>
        </w:rPr>
        <w:t xml:space="preserve">the end of </w:t>
      </w:r>
      <w:r w:rsidR="001B0AD1" w:rsidRPr="003A362C">
        <w:rPr>
          <w:rFonts w:cs="Arial"/>
          <w:color w:val="000000" w:themeColor="text1"/>
        </w:rPr>
        <w:t>q</w:t>
      </w:r>
      <w:r w:rsidR="007C282E" w:rsidRPr="003A362C">
        <w:rPr>
          <w:rFonts w:cs="Arial"/>
          <w:color w:val="000000" w:themeColor="text1"/>
        </w:rPr>
        <w:t xml:space="preserve">uarter </w:t>
      </w:r>
      <w:r w:rsidR="00251AD9" w:rsidRPr="003A362C">
        <w:rPr>
          <w:rFonts w:cs="Arial"/>
          <w:color w:val="000000" w:themeColor="text1"/>
        </w:rPr>
        <w:t>one</w:t>
      </w:r>
      <w:r w:rsidR="00BB420C" w:rsidRPr="003A362C">
        <w:rPr>
          <w:rFonts w:cs="Arial"/>
          <w:color w:val="000000" w:themeColor="text1"/>
        </w:rPr>
        <w:t>.  T</w:t>
      </w:r>
      <w:r w:rsidR="00251AD9" w:rsidRPr="003A362C">
        <w:rPr>
          <w:rFonts w:cs="Arial"/>
          <w:color w:val="000000" w:themeColor="text1"/>
        </w:rPr>
        <w:t>hese relate to</w:t>
      </w:r>
      <w:r w:rsidR="00406D7A" w:rsidRPr="003A362C">
        <w:rPr>
          <w:rFonts w:cs="Arial"/>
          <w:color w:val="000000" w:themeColor="text1"/>
        </w:rPr>
        <w:t xml:space="preserve"> </w:t>
      </w:r>
      <w:r w:rsidR="00AB24EA" w:rsidRPr="003A362C">
        <w:rPr>
          <w:rFonts w:cs="Arial"/>
          <w:color w:val="000000" w:themeColor="text1"/>
        </w:rPr>
        <w:t xml:space="preserve">actions taken to </w:t>
      </w:r>
      <w:r w:rsidR="005E64CB" w:rsidRPr="003A362C">
        <w:rPr>
          <w:rFonts w:cs="Arial"/>
          <w:color w:val="000000" w:themeColor="text1"/>
        </w:rPr>
        <w:t>ensur</w:t>
      </w:r>
      <w:r w:rsidR="00BB420C" w:rsidRPr="003A362C">
        <w:rPr>
          <w:rFonts w:cs="Arial"/>
          <w:color w:val="000000" w:themeColor="text1"/>
        </w:rPr>
        <w:t>e</w:t>
      </w:r>
      <w:r w:rsidR="005E64CB" w:rsidRPr="003A362C">
        <w:rPr>
          <w:rFonts w:cs="Arial"/>
          <w:color w:val="000000" w:themeColor="text1"/>
        </w:rPr>
        <w:t xml:space="preserve"> housi</w:t>
      </w:r>
      <w:r w:rsidR="00406D7A" w:rsidRPr="003A362C">
        <w:rPr>
          <w:rFonts w:cs="Arial"/>
          <w:color w:val="000000" w:themeColor="text1"/>
        </w:rPr>
        <w:t>ng delivery and supply for the c</w:t>
      </w:r>
      <w:r w:rsidR="005E64CB" w:rsidRPr="003A362C">
        <w:rPr>
          <w:rFonts w:cs="Arial"/>
          <w:color w:val="000000" w:themeColor="text1"/>
        </w:rPr>
        <w:t>ity</w:t>
      </w:r>
      <w:r w:rsidR="00BB420C" w:rsidRPr="003A362C">
        <w:rPr>
          <w:rFonts w:cs="Arial"/>
          <w:color w:val="000000" w:themeColor="text1"/>
        </w:rPr>
        <w:t xml:space="preserve"> of Oxford</w:t>
      </w:r>
      <w:r w:rsidR="005E64CB" w:rsidRPr="003A362C">
        <w:rPr>
          <w:rFonts w:cs="Arial"/>
          <w:color w:val="000000" w:themeColor="text1"/>
        </w:rPr>
        <w:t xml:space="preserve"> and </w:t>
      </w:r>
      <w:r w:rsidR="00BB420C" w:rsidRPr="003A362C">
        <w:rPr>
          <w:rFonts w:cs="Arial"/>
          <w:color w:val="000000" w:themeColor="text1"/>
        </w:rPr>
        <w:t xml:space="preserve">to </w:t>
      </w:r>
      <w:r w:rsidR="005E64CB" w:rsidRPr="003A362C">
        <w:rPr>
          <w:rFonts w:cs="Arial"/>
          <w:color w:val="000000" w:themeColor="text1"/>
        </w:rPr>
        <w:t>enabl</w:t>
      </w:r>
      <w:r w:rsidR="00BB420C" w:rsidRPr="003A362C">
        <w:rPr>
          <w:rFonts w:cs="Arial"/>
          <w:color w:val="000000" w:themeColor="text1"/>
        </w:rPr>
        <w:t>e</w:t>
      </w:r>
      <w:r w:rsidR="005E64CB" w:rsidRPr="003A362C">
        <w:rPr>
          <w:rFonts w:cs="Arial"/>
          <w:color w:val="000000" w:themeColor="text1"/>
        </w:rPr>
        <w:t xml:space="preserve"> sufficient house building and investment</w:t>
      </w:r>
      <w:r w:rsidR="002668C9" w:rsidRPr="003A362C">
        <w:rPr>
          <w:rFonts w:cs="Arial"/>
          <w:color w:val="000000" w:themeColor="text1"/>
        </w:rPr>
        <w:t>; local, national or international factors adversely affect</w:t>
      </w:r>
      <w:r w:rsidR="00BB420C" w:rsidRPr="003A362C">
        <w:rPr>
          <w:rFonts w:cs="Arial"/>
          <w:color w:val="000000" w:themeColor="text1"/>
        </w:rPr>
        <w:t>ing the economic growth of the c</w:t>
      </w:r>
      <w:r w:rsidR="002668C9" w:rsidRPr="003A362C">
        <w:rPr>
          <w:rFonts w:cs="Arial"/>
          <w:color w:val="000000" w:themeColor="text1"/>
        </w:rPr>
        <w:t>ity</w:t>
      </w:r>
      <w:r w:rsidR="003A362C" w:rsidRPr="003A362C">
        <w:rPr>
          <w:rFonts w:cs="Arial"/>
          <w:color w:val="000000" w:themeColor="text1"/>
        </w:rPr>
        <w:t>;</w:t>
      </w:r>
      <w:r w:rsidR="00D354EF" w:rsidRPr="003A362C">
        <w:rPr>
          <w:rFonts w:cs="Arial"/>
          <w:color w:val="000000" w:themeColor="text1"/>
        </w:rPr>
        <w:t xml:space="preserve"> </w:t>
      </w:r>
      <w:r w:rsidR="00630C9F" w:rsidRPr="003A362C">
        <w:rPr>
          <w:rFonts w:cs="Arial"/>
          <w:color w:val="000000" w:themeColor="text1"/>
        </w:rPr>
        <w:t>negative impacts of Climate Change</w:t>
      </w:r>
      <w:r w:rsidR="003A362C" w:rsidRPr="003A362C">
        <w:rPr>
          <w:rFonts w:cs="Arial"/>
          <w:color w:val="000000" w:themeColor="text1"/>
        </w:rPr>
        <w:t>; potential terrorist incident in the city that affects normal life and delivery of services by external suppliers and partners</w:t>
      </w:r>
      <w:r w:rsidR="00630C9F" w:rsidRPr="003A362C">
        <w:rPr>
          <w:rFonts w:cs="Arial"/>
          <w:color w:val="000000" w:themeColor="text1"/>
        </w:rPr>
        <w:t>.</w:t>
      </w:r>
      <w:r w:rsidR="00BB420C" w:rsidRPr="003A362C">
        <w:rPr>
          <w:rFonts w:cs="Arial"/>
          <w:color w:val="000000" w:themeColor="text1"/>
        </w:rPr>
        <w:t xml:space="preserve">  M</w:t>
      </w:r>
      <w:r w:rsidR="0013140F" w:rsidRPr="003A362C">
        <w:rPr>
          <w:rFonts w:cs="Arial"/>
          <w:color w:val="000000" w:themeColor="text1"/>
        </w:rPr>
        <w:t xml:space="preserve">ore details of </w:t>
      </w:r>
      <w:r w:rsidR="00BB420C" w:rsidRPr="003A362C">
        <w:rPr>
          <w:rFonts w:cs="Arial"/>
          <w:color w:val="000000" w:themeColor="text1"/>
        </w:rPr>
        <w:t xml:space="preserve">the </w:t>
      </w:r>
      <w:r w:rsidR="00E72133" w:rsidRPr="003A362C">
        <w:rPr>
          <w:rFonts w:cs="Arial"/>
          <w:color w:val="000000" w:themeColor="text1"/>
        </w:rPr>
        <w:t>risks</w:t>
      </w:r>
      <w:r w:rsidR="0013140F" w:rsidRPr="003A362C">
        <w:rPr>
          <w:rFonts w:cs="Arial"/>
          <w:color w:val="000000" w:themeColor="text1"/>
        </w:rPr>
        <w:t xml:space="preserve"> can be found </w:t>
      </w:r>
      <w:r w:rsidR="008530EB" w:rsidRPr="003A362C">
        <w:rPr>
          <w:rFonts w:cs="Arial"/>
          <w:color w:val="000000" w:themeColor="text1"/>
        </w:rPr>
        <w:t>in paragraph</w:t>
      </w:r>
      <w:r w:rsidR="00132A6F" w:rsidRPr="003A362C">
        <w:rPr>
          <w:rFonts w:cs="Arial"/>
          <w:color w:val="000000" w:themeColor="text1"/>
        </w:rPr>
        <w:t>s</w:t>
      </w:r>
      <w:r w:rsidR="008530EB" w:rsidRPr="003A362C">
        <w:rPr>
          <w:rFonts w:cs="Arial"/>
          <w:color w:val="000000" w:themeColor="text1"/>
        </w:rPr>
        <w:t xml:space="preserve"> </w:t>
      </w:r>
      <w:r w:rsidR="00A4165B" w:rsidRPr="003A362C">
        <w:rPr>
          <w:rFonts w:cs="Arial"/>
          <w:color w:val="000000" w:themeColor="text1"/>
        </w:rPr>
        <w:t>1</w:t>
      </w:r>
      <w:r w:rsidR="00AE303E">
        <w:rPr>
          <w:rFonts w:cs="Arial"/>
          <w:color w:val="000000" w:themeColor="text1"/>
        </w:rPr>
        <w:t>3</w:t>
      </w:r>
      <w:r w:rsidR="00132A6F" w:rsidRPr="003A362C">
        <w:rPr>
          <w:rFonts w:cs="Arial"/>
          <w:color w:val="000000" w:themeColor="text1"/>
        </w:rPr>
        <w:t xml:space="preserve"> to </w:t>
      </w:r>
      <w:r w:rsidR="00A4165B" w:rsidRPr="003A362C">
        <w:rPr>
          <w:rFonts w:cs="Arial"/>
          <w:color w:val="000000" w:themeColor="text1"/>
        </w:rPr>
        <w:t>1</w:t>
      </w:r>
      <w:r w:rsidR="00AE303E">
        <w:rPr>
          <w:rFonts w:cs="Arial"/>
          <w:color w:val="000000" w:themeColor="text1"/>
        </w:rPr>
        <w:t>4</w:t>
      </w:r>
      <w:r w:rsidR="00132A6F" w:rsidRPr="003A362C">
        <w:rPr>
          <w:rFonts w:cs="Arial"/>
          <w:color w:val="000000" w:themeColor="text1"/>
        </w:rPr>
        <w:t>;</w:t>
      </w:r>
    </w:p>
    <w:p w14:paraId="0AECFEE3" w14:textId="77777777" w:rsidR="006C483B" w:rsidRPr="00E41699" w:rsidRDefault="006C483B" w:rsidP="003976F3">
      <w:pPr>
        <w:pStyle w:val="Heading1"/>
        <w:rPr>
          <w:color w:val="auto"/>
        </w:rPr>
      </w:pPr>
      <w:r w:rsidRPr="00E41699">
        <w:rPr>
          <w:color w:val="auto"/>
        </w:rPr>
        <w:t>Financial Position</w:t>
      </w:r>
    </w:p>
    <w:p w14:paraId="40FAF4CD" w14:textId="77777777" w:rsidR="00536A53" w:rsidRPr="0021355D" w:rsidRDefault="00536A53" w:rsidP="003976F3">
      <w:pPr>
        <w:pStyle w:val="Heading1"/>
        <w:rPr>
          <w:color w:val="auto"/>
        </w:rPr>
      </w:pPr>
      <w:r w:rsidRPr="0021355D">
        <w:rPr>
          <w:color w:val="auto"/>
        </w:rPr>
        <w:t>General Fund Revenue</w:t>
      </w:r>
    </w:p>
    <w:p w14:paraId="768E27FF" w14:textId="337B0162" w:rsidR="00C41ADA" w:rsidRPr="0012667E" w:rsidRDefault="00E141C6" w:rsidP="0012667E">
      <w:pPr>
        <w:pStyle w:val="ListParagraph"/>
        <w:rPr>
          <w:color w:val="auto"/>
        </w:rPr>
      </w:pPr>
      <w:r w:rsidRPr="00D354EF">
        <w:rPr>
          <w:color w:val="auto"/>
        </w:rPr>
        <w:t xml:space="preserve">The </w:t>
      </w:r>
      <w:r w:rsidR="00F52E15" w:rsidRPr="00D354EF">
        <w:rPr>
          <w:color w:val="auto"/>
        </w:rPr>
        <w:t xml:space="preserve">overall </w:t>
      </w:r>
      <w:r w:rsidR="001A4B55" w:rsidRPr="00D354EF">
        <w:rPr>
          <w:color w:val="auto"/>
        </w:rPr>
        <w:t>N</w:t>
      </w:r>
      <w:r w:rsidR="00BC54ED" w:rsidRPr="00D354EF">
        <w:rPr>
          <w:color w:val="auto"/>
        </w:rPr>
        <w:t>et</w:t>
      </w:r>
      <w:r w:rsidR="002C45FC" w:rsidRPr="00D354EF">
        <w:rPr>
          <w:color w:val="auto"/>
        </w:rPr>
        <w:t xml:space="preserve"> </w:t>
      </w:r>
      <w:r w:rsidR="00DB40A3" w:rsidRPr="00D354EF">
        <w:rPr>
          <w:color w:val="auto"/>
        </w:rPr>
        <w:t>B</w:t>
      </w:r>
      <w:r w:rsidR="00F52E15" w:rsidRPr="00D354EF">
        <w:rPr>
          <w:color w:val="auto"/>
        </w:rPr>
        <w:t xml:space="preserve">udget </w:t>
      </w:r>
      <w:r w:rsidR="001A4B55" w:rsidRPr="00D354EF">
        <w:rPr>
          <w:color w:val="auto"/>
        </w:rPr>
        <w:t xml:space="preserve">Requirement </w:t>
      </w:r>
      <w:r w:rsidR="00CC2459" w:rsidRPr="00D354EF">
        <w:rPr>
          <w:color w:val="auto"/>
        </w:rPr>
        <w:t>a</w:t>
      </w:r>
      <w:r w:rsidR="00406D7A" w:rsidRPr="00D354EF">
        <w:rPr>
          <w:color w:val="auto"/>
        </w:rPr>
        <w:t>greed by the</w:t>
      </w:r>
      <w:r w:rsidR="009E1B80" w:rsidRPr="00D354EF">
        <w:rPr>
          <w:color w:val="auto"/>
        </w:rPr>
        <w:t xml:space="preserve"> Council in February 202</w:t>
      </w:r>
      <w:r w:rsidR="00E114A3">
        <w:rPr>
          <w:color w:val="auto"/>
        </w:rPr>
        <w:t>2</w:t>
      </w:r>
      <w:r w:rsidR="00F52E15" w:rsidRPr="00D354EF">
        <w:rPr>
          <w:color w:val="auto"/>
        </w:rPr>
        <w:t xml:space="preserve"> was £</w:t>
      </w:r>
      <w:r w:rsidR="00E67CEB" w:rsidRPr="00D354EF">
        <w:rPr>
          <w:color w:val="auto"/>
        </w:rPr>
        <w:t>2</w:t>
      </w:r>
      <w:r w:rsidR="00896726">
        <w:rPr>
          <w:color w:val="auto"/>
        </w:rPr>
        <w:t>2.382</w:t>
      </w:r>
      <w:r w:rsidR="001E7192" w:rsidRPr="00D354EF">
        <w:rPr>
          <w:color w:val="auto"/>
        </w:rPr>
        <w:t xml:space="preserve"> </w:t>
      </w:r>
      <w:r w:rsidR="007E75B1" w:rsidRPr="00D354EF">
        <w:rPr>
          <w:color w:val="auto"/>
        </w:rPr>
        <w:t>million. Since setting</w:t>
      </w:r>
      <w:r w:rsidR="00F52E15" w:rsidRPr="00D354EF">
        <w:rPr>
          <w:color w:val="auto"/>
        </w:rPr>
        <w:t xml:space="preserve"> the budget</w:t>
      </w:r>
      <w:r w:rsidR="000F1081" w:rsidRPr="00D354EF">
        <w:rPr>
          <w:color w:val="auto"/>
        </w:rPr>
        <w:t>, service area expenditure</w:t>
      </w:r>
      <w:r w:rsidR="007E75B1" w:rsidRPr="00D354EF">
        <w:rPr>
          <w:color w:val="auto"/>
        </w:rPr>
        <w:t xml:space="preserve"> </w:t>
      </w:r>
      <w:r w:rsidR="004E7EEE" w:rsidRPr="00D354EF">
        <w:rPr>
          <w:color w:val="auto"/>
        </w:rPr>
        <w:t xml:space="preserve">has </w:t>
      </w:r>
      <w:r w:rsidR="00896726">
        <w:rPr>
          <w:color w:val="auto"/>
        </w:rPr>
        <w:t>increase</w:t>
      </w:r>
      <w:r w:rsidR="00736614">
        <w:rPr>
          <w:color w:val="auto"/>
        </w:rPr>
        <w:t>d</w:t>
      </w:r>
      <w:r w:rsidR="00C32898" w:rsidRPr="00D354EF">
        <w:rPr>
          <w:color w:val="auto"/>
        </w:rPr>
        <w:t xml:space="preserve"> </w:t>
      </w:r>
      <w:r w:rsidR="007E75B1" w:rsidRPr="00D354EF">
        <w:rPr>
          <w:color w:val="auto"/>
        </w:rPr>
        <w:t xml:space="preserve">by </w:t>
      </w:r>
      <w:r w:rsidR="00DA6824" w:rsidRPr="00D354EF">
        <w:rPr>
          <w:color w:val="auto"/>
        </w:rPr>
        <w:t xml:space="preserve">a </w:t>
      </w:r>
      <w:r w:rsidR="00A31C7F" w:rsidRPr="00D354EF">
        <w:rPr>
          <w:color w:val="auto"/>
        </w:rPr>
        <w:t>net total</w:t>
      </w:r>
      <w:r w:rsidR="00DA6824" w:rsidRPr="00D354EF">
        <w:rPr>
          <w:color w:val="auto"/>
        </w:rPr>
        <w:t xml:space="preserve"> of </w:t>
      </w:r>
      <w:r w:rsidR="007E75B1" w:rsidRPr="00D354EF">
        <w:rPr>
          <w:color w:val="auto"/>
        </w:rPr>
        <w:t>£</w:t>
      </w:r>
      <w:r w:rsidR="00896726">
        <w:rPr>
          <w:color w:val="auto"/>
        </w:rPr>
        <w:t>0.645</w:t>
      </w:r>
      <w:r w:rsidR="009E1B80" w:rsidRPr="00D354EF">
        <w:rPr>
          <w:color w:val="auto"/>
        </w:rPr>
        <w:t xml:space="preserve"> </w:t>
      </w:r>
      <w:proofErr w:type="spellStart"/>
      <w:r w:rsidR="007E75B1" w:rsidRPr="00D354EF">
        <w:rPr>
          <w:color w:val="auto"/>
        </w:rPr>
        <w:t>million</w:t>
      </w:r>
      <w:r w:rsidR="00736614">
        <w:rPr>
          <w:color w:val="auto"/>
        </w:rPr>
        <w:t>.T</w:t>
      </w:r>
      <w:r w:rsidR="00A31C7F" w:rsidRPr="00D354EF">
        <w:rPr>
          <w:color w:val="auto"/>
        </w:rPr>
        <w:t>his</w:t>
      </w:r>
      <w:proofErr w:type="spellEnd"/>
      <w:r w:rsidR="00A31C7F" w:rsidRPr="00D354EF">
        <w:rPr>
          <w:color w:val="auto"/>
        </w:rPr>
        <w:t xml:space="preserve"> </w:t>
      </w:r>
      <w:r w:rsidR="00C41ADA" w:rsidRPr="00D354EF">
        <w:rPr>
          <w:color w:val="auto"/>
        </w:rPr>
        <w:t xml:space="preserve">is </w:t>
      </w:r>
      <w:r w:rsidR="00896726">
        <w:rPr>
          <w:color w:val="auto"/>
        </w:rPr>
        <w:t xml:space="preserve">mainly </w:t>
      </w:r>
      <w:r w:rsidR="00BB420C" w:rsidRPr="00D354EF">
        <w:rPr>
          <w:color w:val="auto"/>
        </w:rPr>
        <w:t xml:space="preserve">due to </w:t>
      </w:r>
      <w:r w:rsidR="00896726">
        <w:rPr>
          <w:color w:val="auto"/>
        </w:rPr>
        <w:t xml:space="preserve">the release </w:t>
      </w:r>
      <w:r w:rsidR="00E114A3">
        <w:rPr>
          <w:color w:val="auto"/>
        </w:rPr>
        <w:t xml:space="preserve">of </w:t>
      </w:r>
      <w:r w:rsidR="0012667E">
        <w:rPr>
          <w:color w:val="auto"/>
        </w:rPr>
        <w:t>pay inflation to services from the contingency pot</w:t>
      </w:r>
      <w:r w:rsidR="00E114A3">
        <w:rPr>
          <w:color w:val="auto"/>
        </w:rPr>
        <w:t xml:space="preserve"> in line with the agreed pay award</w:t>
      </w:r>
      <w:r w:rsidR="0012667E">
        <w:rPr>
          <w:color w:val="auto"/>
        </w:rPr>
        <w:t>.</w:t>
      </w:r>
      <w:r w:rsidR="009E1B80" w:rsidRPr="00D354EF">
        <w:rPr>
          <w:color w:val="auto"/>
        </w:rPr>
        <w:t xml:space="preserve">  </w:t>
      </w:r>
      <w:r w:rsidR="0012667E">
        <w:rPr>
          <w:color w:val="auto"/>
        </w:rPr>
        <w:t>T</w:t>
      </w:r>
      <w:r w:rsidR="005F01A3" w:rsidRPr="00D354EF">
        <w:rPr>
          <w:color w:val="auto"/>
        </w:rPr>
        <w:t xml:space="preserve">he </w:t>
      </w:r>
      <w:r w:rsidR="007E75B1" w:rsidRPr="00D354EF">
        <w:rPr>
          <w:color w:val="auto"/>
        </w:rPr>
        <w:t>Net Budget Requirement remains</w:t>
      </w:r>
      <w:r w:rsidR="00B32485" w:rsidRPr="00D354EF">
        <w:rPr>
          <w:color w:val="auto"/>
        </w:rPr>
        <w:t xml:space="preserve"> </w:t>
      </w:r>
      <w:r w:rsidR="0018749F" w:rsidRPr="00D354EF">
        <w:rPr>
          <w:color w:val="auto"/>
        </w:rPr>
        <w:t>unchanged</w:t>
      </w:r>
      <w:r w:rsidR="00E114A3">
        <w:rPr>
          <w:color w:val="auto"/>
        </w:rPr>
        <w:t xml:space="preserve"> since this is simply a </w:t>
      </w:r>
      <w:proofErr w:type="spellStart"/>
      <w:r w:rsidR="00E114A3">
        <w:rPr>
          <w:color w:val="auto"/>
        </w:rPr>
        <w:t>virement</w:t>
      </w:r>
      <w:proofErr w:type="spellEnd"/>
      <w:r w:rsidR="007E75B1" w:rsidRPr="00D354EF">
        <w:rPr>
          <w:color w:val="auto"/>
        </w:rPr>
        <w:t>.</w:t>
      </w:r>
      <w:r w:rsidR="00C84C29" w:rsidRPr="00D354EF">
        <w:rPr>
          <w:color w:val="auto"/>
        </w:rPr>
        <w:t xml:space="preserve">  </w:t>
      </w:r>
    </w:p>
    <w:p w14:paraId="46A1656F" w14:textId="2607F04A" w:rsidR="0021355D" w:rsidRPr="0021355D" w:rsidRDefault="00C10C69" w:rsidP="00E141C6">
      <w:pPr>
        <w:pStyle w:val="ListParagraph"/>
        <w:rPr>
          <w:color w:val="FF0000"/>
        </w:rPr>
      </w:pPr>
      <w:r w:rsidRPr="00C10C69">
        <w:rPr>
          <w:color w:val="auto"/>
        </w:rPr>
        <w:t>As at 30</w:t>
      </w:r>
      <w:r w:rsidRPr="00C10C69">
        <w:rPr>
          <w:color w:val="auto"/>
          <w:vertAlign w:val="superscript"/>
        </w:rPr>
        <w:t>th</w:t>
      </w:r>
      <w:r w:rsidRPr="00C10C69">
        <w:rPr>
          <w:color w:val="auto"/>
        </w:rPr>
        <w:t xml:space="preserve"> June 202</w:t>
      </w:r>
      <w:r w:rsidR="0012667E">
        <w:rPr>
          <w:color w:val="auto"/>
        </w:rPr>
        <w:t>2</w:t>
      </w:r>
      <w:r w:rsidR="00E41699">
        <w:rPr>
          <w:color w:val="auto"/>
        </w:rPr>
        <w:t xml:space="preserve"> </w:t>
      </w:r>
      <w:r>
        <w:rPr>
          <w:color w:val="auto"/>
        </w:rPr>
        <w:t>the General Fund Service Area</w:t>
      </w:r>
      <w:r w:rsidR="001E0FBA">
        <w:rPr>
          <w:color w:val="auto"/>
        </w:rPr>
        <w:t>s are</w:t>
      </w:r>
      <w:r>
        <w:rPr>
          <w:color w:val="auto"/>
        </w:rPr>
        <w:t xml:space="preserve"> </w:t>
      </w:r>
      <w:r w:rsidR="00E114A3">
        <w:rPr>
          <w:color w:val="auto"/>
        </w:rPr>
        <w:t>a limited number of</w:t>
      </w:r>
      <w:r>
        <w:rPr>
          <w:color w:val="auto"/>
        </w:rPr>
        <w:t xml:space="preserve"> variances against the latest budget of £33.5</w:t>
      </w:r>
      <w:r w:rsidR="001E0FBA">
        <w:rPr>
          <w:color w:val="auto"/>
        </w:rPr>
        <w:t>80</w:t>
      </w:r>
      <w:r>
        <w:rPr>
          <w:color w:val="auto"/>
        </w:rPr>
        <w:t xml:space="preserve"> million</w:t>
      </w:r>
      <w:r w:rsidR="00E114A3">
        <w:rPr>
          <w:color w:val="auto"/>
        </w:rPr>
        <w:t>.</w:t>
      </w:r>
      <w:r>
        <w:rPr>
          <w:color w:val="auto"/>
        </w:rPr>
        <w:t xml:space="preserve"> </w:t>
      </w:r>
      <w:r w:rsidR="00E114A3">
        <w:rPr>
          <w:color w:val="auto"/>
        </w:rPr>
        <w:t xml:space="preserve">A number of key areas </w:t>
      </w:r>
      <w:r w:rsidR="005E11ED">
        <w:rPr>
          <w:color w:val="auto"/>
        </w:rPr>
        <w:t>however continue</w:t>
      </w:r>
      <w:r>
        <w:rPr>
          <w:color w:val="auto"/>
        </w:rPr>
        <w:t xml:space="preserve"> to be </w:t>
      </w:r>
      <w:r w:rsidR="001E0FBA">
        <w:rPr>
          <w:color w:val="auto"/>
        </w:rPr>
        <w:t xml:space="preserve">monitored closely as they recover from the impact of </w:t>
      </w:r>
      <w:r>
        <w:rPr>
          <w:color w:val="auto"/>
        </w:rPr>
        <w:t>COVID 19</w:t>
      </w:r>
      <w:r w:rsidR="009B76C1">
        <w:rPr>
          <w:color w:val="auto"/>
        </w:rPr>
        <w:t>. These include :</w:t>
      </w:r>
      <w:r>
        <w:rPr>
          <w:color w:val="auto"/>
        </w:rPr>
        <w:t xml:space="preserve">   </w:t>
      </w:r>
    </w:p>
    <w:p w14:paraId="38BD40A5" w14:textId="7155781F" w:rsidR="0021355D" w:rsidRPr="00630C9F" w:rsidRDefault="0021355D" w:rsidP="0021355D">
      <w:pPr>
        <w:pStyle w:val="ListParagraph"/>
        <w:numPr>
          <w:ilvl w:val="1"/>
          <w:numId w:val="2"/>
        </w:numPr>
        <w:rPr>
          <w:color w:val="auto"/>
        </w:rPr>
      </w:pPr>
      <w:r w:rsidRPr="003940F3">
        <w:rPr>
          <w:b/>
          <w:color w:val="auto"/>
        </w:rPr>
        <w:t>Car Park income</w:t>
      </w:r>
      <w:r>
        <w:rPr>
          <w:color w:val="auto"/>
        </w:rPr>
        <w:t xml:space="preserve"> – </w:t>
      </w:r>
      <w:r w:rsidR="001E0FBA" w:rsidRPr="001E0FBA">
        <w:rPr>
          <w:color w:val="auto"/>
        </w:rPr>
        <w:t>income for the first quarter is slightly above budget and usage is increasing steadily in most car parks.  However the usage and income is still down in comparison to 2019/20 (</w:t>
      </w:r>
      <w:proofErr w:type="spellStart"/>
      <w:r w:rsidR="001E0FBA" w:rsidRPr="001E0FBA">
        <w:rPr>
          <w:color w:val="auto"/>
        </w:rPr>
        <w:t>pre</w:t>
      </w:r>
      <w:proofErr w:type="spellEnd"/>
      <w:r w:rsidR="001E0FBA" w:rsidRPr="001E0FBA">
        <w:rPr>
          <w:color w:val="auto"/>
        </w:rPr>
        <w:t xml:space="preserve"> COVID) levels, by an average of 16% on usage and 9% on income</w:t>
      </w:r>
      <w:r w:rsidR="00FD4A43">
        <w:rPr>
          <w:color w:val="auto"/>
        </w:rPr>
        <w:t>.</w:t>
      </w:r>
      <w:r w:rsidR="00620EA0">
        <w:rPr>
          <w:color w:val="auto"/>
        </w:rPr>
        <w:t xml:space="preserve">  At Cabinet on 13</w:t>
      </w:r>
      <w:r w:rsidR="00620EA0" w:rsidRPr="00620EA0">
        <w:rPr>
          <w:color w:val="auto"/>
          <w:vertAlign w:val="superscript"/>
        </w:rPr>
        <w:t>th</w:t>
      </w:r>
      <w:r w:rsidR="00620EA0">
        <w:rPr>
          <w:color w:val="auto"/>
        </w:rPr>
        <w:t xml:space="preserve"> July </w:t>
      </w:r>
      <w:r w:rsidR="00E114A3">
        <w:rPr>
          <w:color w:val="auto"/>
        </w:rPr>
        <w:t xml:space="preserve">2022 </w:t>
      </w:r>
      <w:r w:rsidR="00620EA0">
        <w:rPr>
          <w:color w:val="auto"/>
        </w:rPr>
        <w:t xml:space="preserve">the Council agreed an adjustment in park and ride charges for a 6 month period </w:t>
      </w:r>
      <w:r w:rsidR="00E114A3">
        <w:rPr>
          <w:color w:val="auto"/>
        </w:rPr>
        <w:t xml:space="preserve">commencing in September </w:t>
      </w:r>
      <w:r w:rsidR="00620EA0">
        <w:rPr>
          <w:color w:val="auto"/>
        </w:rPr>
        <w:t xml:space="preserve">in order to </w:t>
      </w:r>
      <w:r w:rsidR="00FE53F3">
        <w:rPr>
          <w:color w:val="auto"/>
        </w:rPr>
        <w:t>safeguard the future of the park and ride facility and encourage usage rather than driving into the city centre</w:t>
      </w:r>
      <w:r w:rsidR="00620EA0">
        <w:rPr>
          <w:color w:val="auto"/>
        </w:rPr>
        <w:t>;</w:t>
      </w:r>
    </w:p>
    <w:p w14:paraId="4F65D44E" w14:textId="420A5511" w:rsidR="0021355D" w:rsidRPr="00630C9F" w:rsidRDefault="0021355D" w:rsidP="0021355D">
      <w:pPr>
        <w:pStyle w:val="ListParagraph"/>
        <w:numPr>
          <w:ilvl w:val="1"/>
          <w:numId w:val="2"/>
        </w:numPr>
        <w:rPr>
          <w:color w:val="auto"/>
        </w:rPr>
      </w:pPr>
      <w:r w:rsidRPr="003940F3">
        <w:rPr>
          <w:b/>
          <w:color w:val="auto"/>
        </w:rPr>
        <w:t>Property rental</w:t>
      </w:r>
      <w:r w:rsidRPr="00630C9F">
        <w:rPr>
          <w:color w:val="auto"/>
        </w:rPr>
        <w:t xml:space="preserve"> – </w:t>
      </w:r>
      <w:r w:rsidR="001E0FBA" w:rsidRPr="001E0FBA">
        <w:rPr>
          <w:color w:val="auto"/>
        </w:rPr>
        <w:t xml:space="preserve">the </w:t>
      </w:r>
      <w:r w:rsidR="00E114A3">
        <w:rPr>
          <w:color w:val="auto"/>
        </w:rPr>
        <w:t xml:space="preserve">base </w:t>
      </w:r>
      <w:r w:rsidR="001E0FBA" w:rsidRPr="001E0FBA">
        <w:rPr>
          <w:color w:val="auto"/>
        </w:rPr>
        <w:t xml:space="preserve">budget for the year </w:t>
      </w:r>
      <w:r w:rsidR="009C5D8B">
        <w:rPr>
          <w:color w:val="auto"/>
        </w:rPr>
        <w:t xml:space="preserve">is £12.408 million an increase of £2.36 million from the previous year, some of this increase relates to bringing the budget back to pre COVID 19 levels.  </w:t>
      </w:r>
      <w:r w:rsidR="00E114A3">
        <w:rPr>
          <w:color w:val="auto"/>
        </w:rPr>
        <w:t xml:space="preserve">Work is ongoing to increase these levels </w:t>
      </w:r>
      <w:r w:rsidR="009C5D8B">
        <w:rPr>
          <w:color w:val="auto"/>
        </w:rPr>
        <w:t xml:space="preserve">further </w:t>
      </w:r>
      <w:r w:rsidR="00E114A3">
        <w:rPr>
          <w:color w:val="auto"/>
        </w:rPr>
        <w:t>although in the immediate future this remains unlikely. This has been reflected in the MTFP.</w:t>
      </w:r>
      <w:r w:rsidR="001E0FBA" w:rsidRPr="001E0FBA">
        <w:rPr>
          <w:color w:val="auto"/>
        </w:rPr>
        <w:t xml:space="preserve"> Outstanding debt is approximately £6million and a provision for bad debt </w:t>
      </w:r>
      <w:r w:rsidR="00E114A3">
        <w:rPr>
          <w:color w:val="auto"/>
        </w:rPr>
        <w:t xml:space="preserve">for high risk debts </w:t>
      </w:r>
      <w:r w:rsidR="001E0FBA" w:rsidRPr="001E0FBA">
        <w:rPr>
          <w:color w:val="auto"/>
        </w:rPr>
        <w:t>stands at around £4mi</w:t>
      </w:r>
      <w:r w:rsidR="00FA2F7D">
        <w:rPr>
          <w:color w:val="auto"/>
        </w:rPr>
        <w:t>llion. Proactive action is taking</w:t>
      </w:r>
      <w:r w:rsidR="001E0FBA" w:rsidRPr="001E0FBA">
        <w:rPr>
          <w:color w:val="auto"/>
        </w:rPr>
        <w:t xml:space="preserve"> place to recover </w:t>
      </w:r>
      <w:r w:rsidR="001E0FBA" w:rsidRPr="001E0FBA">
        <w:rPr>
          <w:color w:val="auto"/>
        </w:rPr>
        <w:lastRenderedPageBreak/>
        <w:t>outstanding debt and determine what level of write off will be charged against the provision</w:t>
      </w:r>
      <w:r w:rsidR="007F6499" w:rsidRPr="00630C9F">
        <w:rPr>
          <w:color w:val="auto"/>
        </w:rPr>
        <w:t>.</w:t>
      </w:r>
      <w:r w:rsidR="00FE53F3">
        <w:rPr>
          <w:color w:val="auto"/>
        </w:rPr>
        <w:t xml:space="preserve">  It should be noted that for the period of the COVID pandemic, enforcement action for unpaid commercial property debts was largely suspended, and there remain particular rules in place for the treatment of debts from this period going forward.</w:t>
      </w:r>
    </w:p>
    <w:p w14:paraId="108E906D" w14:textId="77777777" w:rsidR="007F6499" w:rsidRDefault="007F6499" w:rsidP="0021355D">
      <w:pPr>
        <w:pStyle w:val="ListParagraph"/>
        <w:numPr>
          <w:ilvl w:val="1"/>
          <w:numId w:val="2"/>
        </w:numPr>
        <w:rPr>
          <w:color w:val="auto"/>
        </w:rPr>
      </w:pPr>
      <w:r w:rsidRPr="003940F3">
        <w:rPr>
          <w:b/>
          <w:color w:val="auto"/>
        </w:rPr>
        <w:t>Town Hall income</w:t>
      </w:r>
      <w:r w:rsidRPr="00630C9F">
        <w:rPr>
          <w:color w:val="auto"/>
        </w:rPr>
        <w:t xml:space="preserve"> – </w:t>
      </w:r>
      <w:r w:rsidR="001E0FBA" w:rsidRPr="001E0FBA">
        <w:rPr>
          <w:color w:val="auto"/>
        </w:rPr>
        <w:t xml:space="preserve">the income budget was increased by £0.336 million for the year </w:t>
      </w:r>
      <w:r w:rsidR="00D27E42">
        <w:rPr>
          <w:color w:val="auto"/>
        </w:rPr>
        <w:t xml:space="preserve">to £0.808 million </w:t>
      </w:r>
      <w:r w:rsidR="00E114A3">
        <w:rPr>
          <w:color w:val="auto"/>
        </w:rPr>
        <w:t>reflecting</w:t>
      </w:r>
      <w:r w:rsidR="00D27E42">
        <w:rPr>
          <w:color w:val="auto"/>
        </w:rPr>
        <w:t xml:space="preserve"> some</w:t>
      </w:r>
      <w:r w:rsidR="00E114A3">
        <w:rPr>
          <w:color w:val="auto"/>
        </w:rPr>
        <w:t xml:space="preserve"> </w:t>
      </w:r>
      <w:r w:rsidR="001E0FBA" w:rsidRPr="001E0FBA">
        <w:rPr>
          <w:color w:val="auto"/>
        </w:rPr>
        <w:t>recover</w:t>
      </w:r>
      <w:r w:rsidR="00620EA0">
        <w:rPr>
          <w:color w:val="auto"/>
        </w:rPr>
        <w:t>y</w:t>
      </w:r>
      <w:r w:rsidR="001E0FBA" w:rsidRPr="00AC6A97">
        <w:rPr>
          <w:rFonts w:asciiTheme="minorHAnsi" w:eastAsiaTheme="minorHAnsi" w:hAnsiTheme="minorHAnsi" w:cstheme="minorHAnsi"/>
          <w:bCs/>
          <w:color w:val="000000" w:themeColor="text1"/>
          <w:lang w:eastAsia="en-US"/>
        </w:rPr>
        <w:t xml:space="preserve"> from COVID 19</w:t>
      </w:r>
      <w:r w:rsidR="00E114A3">
        <w:rPr>
          <w:rFonts w:asciiTheme="minorHAnsi" w:eastAsiaTheme="minorHAnsi" w:hAnsiTheme="minorHAnsi" w:cstheme="minorHAnsi"/>
          <w:bCs/>
          <w:color w:val="000000" w:themeColor="text1"/>
          <w:lang w:eastAsia="en-US"/>
        </w:rPr>
        <w:t xml:space="preserve">. </w:t>
      </w:r>
      <w:r w:rsidR="00E114A3">
        <w:rPr>
          <w:color w:val="auto"/>
        </w:rPr>
        <w:t>T</w:t>
      </w:r>
      <w:r w:rsidR="001E0FBA" w:rsidRPr="001E0FBA">
        <w:rPr>
          <w:color w:val="auto"/>
        </w:rPr>
        <w:t xml:space="preserve">his target is </w:t>
      </w:r>
      <w:r w:rsidR="00620EA0">
        <w:rPr>
          <w:color w:val="auto"/>
        </w:rPr>
        <w:t xml:space="preserve">currently </w:t>
      </w:r>
      <w:r w:rsidR="001E0FBA" w:rsidRPr="001E0FBA">
        <w:rPr>
          <w:color w:val="auto"/>
        </w:rPr>
        <w:t>forecast to be met during the year</w:t>
      </w:r>
      <w:r w:rsidRPr="007F6499">
        <w:rPr>
          <w:color w:val="auto"/>
        </w:rPr>
        <w:t>.</w:t>
      </w:r>
    </w:p>
    <w:p w14:paraId="48476224" w14:textId="216E3509" w:rsidR="00F54A95" w:rsidRDefault="00F54A95" w:rsidP="0021355D">
      <w:pPr>
        <w:pStyle w:val="ListParagraph"/>
        <w:numPr>
          <w:ilvl w:val="1"/>
          <w:numId w:val="2"/>
        </w:numPr>
        <w:rPr>
          <w:color w:val="auto"/>
        </w:rPr>
      </w:pPr>
      <w:r>
        <w:rPr>
          <w:b/>
          <w:color w:val="auto"/>
        </w:rPr>
        <w:t xml:space="preserve">Financial Services </w:t>
      </w:r>
      <w:r>
        <w:rPr>
          <w:color w:val="auto"/>
        </w:rPr>
        <w:t xml:space="preserve">– bank charges continue to be above budget due to </w:t>
      </w:r>
      <w:r w:rsidR="005E11ED">
        <w:rPr>
          <w:color w:val="auto"/>
        </w:rPr>
        <w:t>non-compliance</w:t>
      </w:r>
      <w:r>
        <w:rPr>
          <w:color w:val="auto"/>
        </w:rPr>
        <w:t xml:space="preserve"> of </w:t>
      </w:r>
      <w:r w:rsidR="00E114A3">
        <w:rPr>
          <w:color w:val="auto"/>
        </w:rPr>
        <w:t>Payment Card Industry Data Security Standards (</w:t>
      </w:r>
      <w:r>
        <w:rPr>
          <w:color w:val="auto"/>
        </w:rPr>
        <w:t>PCIDSS</w:t>
      </w:r>
      <w:r w:rsidR="00E114A3">
        <w:rPr>
          <w:color w:val="auto"/>
        </w:rPr>
        <w:t xml:space="preserve">), work on which is currently in progress to resolve. Additionally </w:t>
      </w:r>
      <w:r>
        <w:rPr>
          <w:color w:val="auto"/>
        </w:rPr>
        <w:t>court cost income continue</w:t>
      </w:r>
      <w:r w:rsidR="00E114A3">
        <w:rPr>
          <w:color w:val="auto"/>
        </w:rPr>
        <w:t>s</w:t>
      </w:r>
      <w:r>
        <w:rPr>
          <w:color w:val="auto"/>
        </w:rPr>
        <w:t xml:space="preserve"> to be below budget for the first </w:t>
      </w:r>
      <w:r w:rsidR="000861C5">
        <w:rPr>
          <w:color w:val="auto"/>
        </w:rPr>
        <w:t>quarter</w:t>
      </w:r>
      <w:r>
        <w:rPr>
          <w:color w:val="auto"/>
        </w:rPr>
        <w:t xml:space="preserve"> of the financial year </w:t>
      </w:r>
      <w:r w:rsidR="000861C5">
        <w:rPr>
          <w:color w:val="auto"/>
        </w:rPr>
        <w:t xml:space="preserve">due to successful arrears recovery processes. Together an </w:t>
      </w:r>
      <w:r>
        <w:rPr>
          <w:color w:val="auto"/>
        </w:rPr>
        <w:t>adverse variance of £0.100 million</w:t>
      </w:r>
      <w:r w:rsidR="000861C5">
        <w:rPr>
          <w:color w:val="auto"/>
        </w:rPr>
        <w:t xml:space="preserve"> is forecast</w:t>
      </w:r>
      <w:r w:rsidR="00FE53F3">
        <w:rPr>
          <w:color w:val="auto"/>
        </w:rPr>
        <w:t>.</w:t>
      </w:r>
    </w:p>
    <w:p w14:paraId="758CCFEC" w14:textId="77777777" w:rsidR="00FD4A43" w:rsidRDefault="00FD4A43" w:rsidP="0021355D">
      <w:pPr>
        <w:pStyle w:val="ListParagraph"/>
        <w:numPr>
          <w:ilvl w:val="1"/>
          <w:numId w:val="2"/>
        </w:numPr>
        <w:rPr>
          <w:color w:val="auto"/>
        </w:rPr>
      </w:pPr>
      <w:r w:rsidRPr="00151EDF">
        <w:rPr>
          <w:b/>
          <w:color w:val="auto"/>
        </w:rPr>
        <w:t>Oxford Direct Services</w:t>
      </w:r>
      <w:r>
        <w:rPr>
          <w:color w:val="auto"/>
        </w:rPr>
        <w:t xml:space="preserve"> </w:t>
      </w:r>
      <w:r w:rsidR="001E0FBA" w:rsidRPr="001E0FBA">
        <w:rPr>
          <w:color w:val="auto"/>
        </w:rPr>
        <w:t>ODS board have declared a dividend for 2020-21 of £</w:t>
      </w:r>
      <w:r w:rsidR="00F54A95">
        <w:rPr>
          <w:color w:val="auto"/>
        </w:rPr>
        <w:t>0.</w:t>
      </w:r>
      <w:r w:rsidR="001E0FBA" w:rsidRPr="001E0FBA">
        <w:rPr>
          <w:color w:val="auto"/>
        </w:rPr>
        <w:t>600</w:t>
      </w:r>
      <w:r w:rsidR="00F54A95">
        <w:rPr>
          <w:color w:val="auto"/>
        </w:rPr>
        <w:t xml:space="preserve"> million</w:t>
      </w:r>
      <w:r w:rsidR="001E0FBA" w:rsidRPr="001E0FBA">
        <w:rPr>
          <w:color w:val="auto"/>
        </w:rPr>
        <w:t xml:space="preserve"> which </w:t>
      </w:r>
      <w:r w:rsidR="00F54A95">
        <w:rPr>
          <w:color w:val="auto"/>
        </w:rPr>
        <w:t>is</w:t>
      </w:r>
      <w:r w:rsidR="001E0FBA" w:rsidRPr="001E0FBA">
        <w:rPr>
          <w:color w:val="auto"/>
        </w:rPr>
        <w:t xml:space="preserve"> payable to the Council</w:t>
      </w:r>
      <w:r w:rsidR="00F54A95">
        <w:rPr>
          <w:color w:val="auto"/>
        </w:rPr>
        <w:t xml:space="preserve"> in this financial year, th</w:t>
      </w:r>
      <w:r w:rsidR="001E0FBA" w:rsidRPr="001E0FBA">
        <w:rPr>
          <w:color w:val="auto"/>
        </w:rPr>
        <w:t>is has slipped from 2021-22</w:t>
      </w:r>
      <w:r w:rsidR="00F54A95">
        <w:rPr>
          <w:color w:val="auto"/>
        </w:rPr>
        <w:t xml:space="preserve"> and therefore an additional £0.600 million for the year</w:t>
      </w:r>
      <w:r w:rsidR="000861C5">
        <w:rPr>
          <w:color w:val="auto"/>
        </w:rPr>
        <w:t xml:space="preserve"> is forecast</w:t>
      </w:r>
      <w:r w:rsidR="001E0FBA" w:rsidRPr="001E0FBA">
        <w:rPr>
          <w:color w:val="auto"/>
        </w:rPr>
        <w:t xml:space="preserve">.  The 2021-22 dividend is not expected to be declared until the sign off of the accounts which is expected by </w:t>
      </w:r>
      <w:r w:rsidR="000861C5">
        <w:rPr>
          <w:color w:val="auto"/>
        </w:rPr>
        <w:t>December</w:t>
      </w:r>
      <w:r w:rsidR="001E0FBA" w:rsidRPr="001E0FBA">
        <w:rPr>
          <w:color w:val="auto"/>
        </w:rPr>
        <w:t xml:space="preserve"> 2022</w:t>
      </w:r>
      <w:r w:rsidR="00F54A95">
        <w:rPr>
          <w:color w:val="auto"/>
        </w:rPr>
        <w:t>, but</w:t>
      </w:r>
      <w:r w:rsidR="000861C5">
        <w:rPr>
          <w:color w:val="auto"/>
        </w:rPr>
        <w:t xml:space="preserve"> early indication is that the surplus </w:t>
      </w:r>
      <w:r w:rsidR="00F54A95">
        <w:rPr>
          <w:color w:val="auto"/>
        </w:rPr>
        <w:t>is expected to be on budget</w:t>
      </w:r>
      <w:r w:rsidR="000861C5">
        <w:rPr>
          <w:color w:val="auto"/>
        </w:rPr>
        <w:t xml:space="preserve"> at around £1.1 million and the </w:t>
      </w:r>
      <w:r w:rsidR="00D27E42">
        <w:rPr>
          <w:color w:val="auto"/>
        </w:rPr>
        <w:t>company’s</w:t>
      </w:r>
      <w:r w:rsidR="000861C5">
        <w:rPr>
          <w:color w:val="auto"/>
        </w:rPr>
        <w:t xml:space="preserve"> intention that this is also paid to the shareholder</w:t>
      </w:r>
      <w:r w:rsidR="001E0FBA">
        <w:rPr>
          <w:color w:val="auto"/>
        </w:rPr>
        <w:t>.</w:t>
      </w:r>
    </w:p>
    <w:p w14:paraId="36119090" w14:textId="77777777" w:rsidR="00FD4A43" w:rsidRDefault="00FD4A43" w:rsidP="0021355D">
      <w:pPr>
        <w:pStyle w:val="ListParagraph"/>
        <w:numPr>
          <w:ilvl w:val="1"/>
          <w:numId w:val="2"/>
        </w:numPr>
        <w:rPr>
          <w:color w:val="auto"/>
        </w:rPr>
      </w:pPr>
      <w:r w:rsidRPr="00151EDF">
        <w:rPr>
          <w:b/>
          <w:color w:val="auto"/>
        </w:rPr>
        <w:t>O</w:t>
      </w:r>
      <w:r w:rsidR="00EB1712" w:rsidRPr="00151EDF">
        <w:rPr>
          <w:b/>
          <w:color w:val="auto"/>
        </w:rPr>
        <w:t xml:space="preserve">xford </w:t>
      </w:r>
      <w:r w:rsidRPr="00151EDF">
        <w:rPr>
          <w:b/>
          <w:color w:val="auto"/>
        </w:rPr>
        <w:t>C</w:t>
      </w:r>
      <w:r w:rsidR="00EB1712" w:rsidRPr="00151EDF">
        <w:rPr>
          <w:b/>
          <w:color w:val="auto"/>
        </w:rPr>
        <w:t xml:space="preserve">ity </w:t>
      </w:r>
      <w:r w:rsidRPr="00151EDF">
        <w:rPr>
          <w:b/>
          <w:color w:val="auto"/>
        </w:rPr>
        <w:t>H</w:t>
      </w:r>
      <w:r w:rsidR="00EB1712" w:rsidRPr="00151EDF">
        <w:rPr>
          <w:b/>
          <w:color w:val="auto"/>
        </w:rPr>
        <w:t xml:space="preserve">ousing </w:t>
      </w:r>
      <w:r w:rsidRPr="00151EDF">
        <w:rPr>
          <w:b/>
          <w:color w:val="auto"/>
        </w:rPr>
        <w:t>L</w:t>
      </w:r>
      <w:r w:rsidR="00EB1712" w:rsidRPr="00151EDF">
        <w:rPr>
          <w:b/>
          <w:color w:val="auto"/>
        </w:rPr>
        <w:t>im</w:t>
      </w:r>
      <w:r w:rsidR="00EB1712">
        <w:rPr>
          <w:b/>
          <w:color w:val="auto"/>
        </w:rPr>
        <w:t>i</w:t>
      </w:r>
      <w:r w:rsidR="00EB1712" w:rsidRPr="00151EDF">
        <w:rPr>
          <w:b/>
          <w:color w:val="auto"/>
        </w:rPr>
        <w:t>ted</w:t>
      </w:r>
      <w:r>
        <w:rPr>
          <w:color w:val="auto"/>
        </w:rPr>
        <w:t xml:space="preserve"> – </w:t>
      </w:r>
      <w:r w:rsidR="001E0FBA" w:rsidRPr="001E0FBA">
        <w:rPr>
          <w:color w:val="auto"/>
        </w:rPr>
        <w:t xml:space="preserve">the revised business plan as at May 2022 has recently been presented to shareholders.  </w:t>
      </w:r>
      <w:r w:rsidR="00620EA0">
        <w:rPr>
          <w:color w:val="auto"/>
        </w:rPr>
        <w:t>Based on this plan interest returns will reduce in 2022-23 by around £</w:t>
      </w:r>
      <w:r w:rsidR="00F54A95">
        <w:rPr>
          <w:color w:val="auto"/>
        </w:rPr>
        <w:t>0.</w:t>
      </w:r>
      <w:r w:rsidR="00620EA0">
        <w:rPr>
          <w:color w:val="auto"/>
        </w:rPr>
        <w:t>400</w:t>
      </w:r>
      <w:r w:rsidR="00F54A95">
        <w:rPr>
          <w:color w:val="auto"/>
        </w:rPr>
        <w:t xml:space="preserve"> million</w:t>
      </w:r>
      <w:r w:rsidR="00620EA0">
        <w:rPr>
          <w:color w:val="auto"/>
        </w:rPr>
        <w:t xml:space="preserve"> given the extensive slippage in the OCHL build program</w:t>
      </w:r>
      <w:r w:rsidR="009B76C1">
        <w:rPr>
          <w:color w:val="auto"/>
        </w:rPr>
        <w:t>.</w:t>
      </w:r>
      <w:r w:rsidR="00F54A95">
        <w:rPr>
          <w:color w:val="auto"/>
        </w:rPr>
        <w:t xml:space="preserve">  This has been reflected in the forecast outturn position of the corporate accounts.</w:t>
      </w:r>
    </w:p>
    <w:p w14:paraId="508B83B1" w14:textId="45908E04" w:rsidR="0053376D" w:rsidRPr="0053376D" w:rsidRDefault="0053376D" w:rsidP="0053376D">
      <w:pPr>
        <w:pStyle w:val="ListParagraph"/>
        <w:numPr>
          <w:ilvl w:val="1"/>
          <w:numId w:val="2"/>
        </w:numPr>
        <w:rPr>
          <w:color w:val="FF0000"/>
        </w:rPr>
      </w:pPr>
      <w:r w:rsidRPr="001B36AE">
        <w:rPr>
          <w:b/>
          <w:color w:val="auto"/>
        </w:rPr>
        <w:t xml:space="preserve">Utility costs </w:t>
      </w:r>
      <w:r w:rsidRPr="001B36AE">
        <w:rPr>
          <w:color w:val="auto"/>
        </w:rPr>
        <w:t xml:space="preserve">– Work is ongoing to estimate the impact of the significant increases in the cost of electric and gas for council owned buildings. </w:t>
      </w:r>
      <w:r w:rsidR="001B36AE" w:rsidRPr="001B36AE">
        <w:rPr>
          <w:color w:val="auto"/>
        </w:rPr>
        <w:t xml:space="preserve">The market is very volatile and fluctuating on a daily basis.  </w:t>
      </w:r>
      <w:r w:rsidRPr="001B36AE">
        <w:rPr>
          <w:color w:val="auto"/>
        </w:rPr>
        <w:t xml:space="preserve">Based on the latest prices it is estimated that the current cost of utilities of £1.6 million per annum could rise </w:t>
      </w:r>
      <w:r w:rsidR="001B36AE" w:rsidRPr="001B36AE">
        <w:rPr>
          <w:color w:val="auto"/>
        </w:rPr>
        <w:t>to between £2.4 million and £5.5</w:t>
      </w:r>
      <w:r w:rsidRPr="001B36AE">
        <w:rPr>
          <w:color w:val="auto"/>
        </w:rPr>
        <w:t xml:space="preserve"> million, some of which will be charged to the HRA and some to General Fund. An optimistic scenario would be an additional £2</w:t>
      </w:r>
      <w:r w:rsidR="001B36AE" w:rsidRPr="001B36AE">
        <w:rPr>
          <w:color w:val="auto"/>
        </w:rPr>
        <w:t>.5 to £3.0</w:t>
      </w:r>
      <w:r w:rsidRPr="001B36AE">
        <w:rPr>
          <w:color w:val="auto"/>
        </w:rPr>
        <w:t xml:space="preserve"> million per annum, £1</w:t>
      </w:r>
      <w:r w:rsidR="001B36AE" w:rsidRPr="001B36AE">
        <w:rPr>
          <w:color w:val="auto"/>
        </w:rPr>
        <w:t>.5</w:t>
      </w:r>
      <w:r w:rsidRPr="001B36AE">
        <w:rPr>
          <w:color w:val="auto"/>
        </w:rPr>
        <w:t xml:space="preserve"> million for the h</w:t>
      </w:r>
      <w:r w:rsidR="001B36AE" w:rsidRPr="001B36AE">
        <w:rPr>
          <w:color w:val="auto"/>
        </w:rPr>
        <w:t>alf year from October 2022, with approximately a 75/25</w:t>
      </w:r>
      <w:r w:rsidRPr="001B36AE">
        <w:rPr>
          <w:color w:val="auto"/>
        </w:rPr>
        <w:t xml:space="preserve"> split between General Fund and HRA.  The Council currently purchases its utilities through the Laser Energy Consortium with prices fixed up until October 2022. In recent weeks the Council has moved a number of supplies to flexible purchase in advance (PIA) contracts as opposed to Fixed Term Fixed Price (FTFP) contracts, which are more suited to extremely volatile and unpredictable energy markets. We are continuing to seek such PIA deals for other suppliers although prices that do become available can change within hours such is the volatility of the market. This is clearly a significant cost pressure to the Council</w:t>
      </w:r>
      <w:r w:rsidR="00FE53F3">
        <w:rPr>
          <w:color w:val="auto"/>
        </w:rPr>
        <w:t>’</w:t>
      </w:r>
      <w:r w:rsidRPr="001B36AE">
        <w:rPr>
          <w:color w:val="auto"/>
        </w:rPr>
        <w:t>s budget which will need close mon</w:t>
      </w:r>
      <w:r w:rsidR="001B36AE" w:rsidRPr="001B36AE">
        <w:rPr>
          <w:color w:val="auto"/>
        </w:rPr>
        <w:t>itoring over the coming months</w:t>
      </w:r>
      <w:r w:rsidR="001B36AE">
        <w:rPr>
          <w:color w:val="FF0000"/>
        </w:rPr>
        <w:t>.</w:t>
      </w:r>
    </w:p>
    <w:p w14:paraId="6B6AB307" w14:textId="77777777" w:rsidR="0053376D" w:rsidRDefault="0053376D" w:rsidP="0053376D">
      <w:pPr>
        <w:pStyle w:val="ListParagraph"/>
        <w:numPr>
          <w:ilvl w:val="0"/>
          <w:numId w:val="0"/>
        </w:numPr>
        <w:ind w:left="1080"/>
        <w:rPr>
          <w:color w:val="auto"/>
        </w:rPr>
      </w:pPr>
    </w:p>
    <w:p w14:paraId="5AE3B9A8" w14:textId="77777777" w:rsidR="001E0FBA" w:rsidRPr="001E0FBA" w:rsidRDefault="001E0FBA" w:rsidP="001E0FBA">
      <w:pPr>
        <w:rPr>
          <w:b/>
          <w:color w:val="auto"/>
        </w:rPr>
      </w:pPr>
      <w:r w:rsidRPr="001E0FBA">
        <w:rPr>
          <w:b/>
          <w:color w:val="auto"/>
        </w:rPr>
        <w:t>Efficiencies</w:t>
      </w:r>
    </w:p>
    <w:p w14:paraId="6D563799" w14:textId="67780802" w:rsidR="001E0FBA" w:rsidRDefault="001E0FBA" w:rsidP="007B6028">
      <w:pPr>
        <w:pStyle w:val="ListParagraph"/>
      </w:pPr>
      <w:r>
        <w:t xml:space="preserve">£2.351 million of new efficiencies were introduced within this </w:t>
      </w:r>
      <w:r w:rsidR="005E11ED">
        <w:t>year’s</w:t>
      </w:r>
      <w:r>
        <w:t xml:space="preserve"> budget and work is ongoing to ensure that these are all achieved.  Most are on target </w:t>
      </w:r>
      <w:r>
        <w:lastRenderedPageBreak/>
        <w:t xml:space="preserve">however there is a saving for £0.050 million in procurement to be made from contract for supplies and services across the Council, </w:t>
      </w:r>
      <w:r w:rsidR="000861C5">
        <w:t>which</w:t>
      </w:r>
      <w:r>
        <w:t xml:space="preserve"> still needs to be identified.  </w:t>
      </w:r>
      <w:r w:rsidRPr="00867800">
        <w:t xml:space="preserve">The saving </w:t>
      </w:r>
      <w:r w:rsidR="000861C5" w:rsidRPr="00867800">
        <w:t xml:space="preserve">in </w:t>
      </w:r>
      <w:r w:rsidR="00AE303E">
        <w:t>relation</w:t>
      </w:r>
      <w:r w:rsidRPr="00867800">
        <w:t xml:space="preserve"> to St Aldates Chambers is also waiting for decisions to be made regarding the letting of the building.  The savings in respect of the Leisure services review are on target but </w:t>
      </w:r>
      <w:r w:rsidR="000861C5" w:rsidRPr="00867800">
        <w:t>rising</w:t>
      </w:r>
      <w:r w:rsidR="000861C5">
        <w:t xml:space="preserve"> </w:t>
      </w:r>
      <w:r>
        <w:t xml:space="preserve">utility costs </w:t>
      </w:r>
      <w:r w:rsidR="000861C5">
        <w:t xml:space="preserve">which need to be paid by the contractor </w:t>
      </w:r>
      <w:r>
        <w:t>propose a risk to this.</w:t>
      </w:r>
    </w:p>
    <w:p w14:paraId="1F9FD30F" w14:textId="77777777" w:rsidR="001E0FBA" w:rsidRDefault="001E0FBA" w:rsidP="001E0FBA">
      <w:r w:rsidRPr="0099037D">
        <w:rPr>
          <w:noProof/>
        </w:rPr>
        <w:drawing>
          <wp:inline distT="0" distB="0" distL="0" distR="0" wp14:anchorId="353F0391" wp14:editId="4D789662">
            <wp:extent cx="5731510" cy="3346027"/>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346027"/>
                    </a:xfrm>
                    <a:prstGeom prst="rect">
                      <a:avLst/>
                    </a:prstGeom>
                    <a:noFill/>
                    <a:ln>
                      <a:noFill/>
                    </a:ln>
                  </pic:spPr>
                </pic:pic>
              </a:graphicData>
            </a:graphic>
          </wp:inline>
        </w:drawing>
      </w:r>
    </w:p>
    <w:p w14:paraId="51709E45" w14:textId="77777777" w:rsidR="001E0FBA" w:rsidRDefault="001E0FBA" w:rsidP="001E0FBA">
      <w:pPr>
        <w:pStyle w:val="ListParagraph"/>
        <w:numPr>
          <w:ilvl w:val="0"/>
          <w:numId w:val="0"/>
        </w:numPr>
        <w:ind w:left="786"/>
      </w:pPr>
    </w:p>
    <w:p w14:paraId="6874A344" w14:textId="77777777" w:rsidR="008D5B32" w:rsidRPr="004261F7" w:rsidRDefault="008D5B32" w:rsidP="003976F3">
      <w:pPr>
        <w:pStyle w:val="Heading1"/>
        <w:rPr>
          <w:color w:val="auto"/>
        </w:rPr>
      </w:pPr>
      <w:r w:rsidRPr="004261F7">
        <w:rPr>
          <w:rFonts w:eastAsia="Calibri"/>
          <w:color w:val="auto"/>
        </w:rPr>
        <w:t>Housing Revenue Account</w:t>
      </w:r>
      <w:r w:rsidR="002B047B" w:rsidRPr="004261F7">
        <w:rPr>
          <w:rFonts w:eastAsia="Calibri"/>
          <w:color w:val="auto"/>
        </w:rPr>
        <w:t xml:space="preserve"> (“the HRA”)</w:t>
      </w:r>
    </w:p>
    <w:p w14:paraId="5DA85E9D" w14:textId="77777777" w:rsidR="00126F0D" w:rsidRPr="004261F7" w:rsidRDefault="002F567B" w:rsidP="004261F7">
      <w:pPr>
        <w:pStyle w:val="ListParagraph"/>
        <w:rPr>
          <w:b/>
          <w:color w:val="auto"/>
          <w:sz w:val="22"/>
        </w:rPr>
      </w:pPr>
      <w:r w:rsidRPr="004261F7">
        <w:rPr>
          <w:rFonts w:cs="Arial"/>
          <w:color w:val="auto"/>
        </w:rPr>
        <w:t xml:space="preserve">The </w:t>
      </w:r>
      <w:r w:rsidR="002B047B" w:rsidRPr="004261F7">
        <w:rPr>
          <w:rFonts w:cs="Arial"/>
          <w:color w:val="auto"/>
        </w:rPr>
        <w:t xml:space="preserve">HRA </w:t>
      </w:r>
      <w:r w:rsidRPr="004261F7">
        <w:rPr>
          <w:rFonts w:cs="Arial"/>
          <w:color w:val="auto"/>
        </w:rPr>
        <w:t>budgeted surplus agreed</w:t>
      </w:r>
      <w:r w:rsidR="00C10C69" w:rsidRPr="004261F7">
        <w:rPr>
          <w:rFonts w:cs="Arial"/>
          <w:color w:val="auto"/>
        </w:rPr>
        <w:t xml:space="preserve"> by the Council in February 202</w:t>
      </w:r>
      <w:r w:rsidR="001E0FBA" w:rsidRPr="004261F7">
        <w:rPr>
          <w:rFonts w:cs="Arial"/>
          <w:color w:val="auto"/>
        </w:rPr>
        <w:t>2</w:t>
      </w:r>
      <w:r w:rsidRPr="004261F7">
        <w:rPr>
          <w:rFonts w:cs="Arial"/>
          <w:color w:val="auto"/>
        </w:rPr>
        <w:t xml:space="preserve"> was £0.</w:t>
      </w:r>
      <w:r w:rsidR="001E0FBA" w:rsidRPr="004261F7">
        <w:rPr>
          <w:rFonts w:cs="Arial"/>
          <w:color w:val="auto"/>
        </w:rPr>
        <w:t>064</w:t>
      </w:r>
      <w:r w:rsidR="00C10C69" w:rsidRPr="004261F7">
        <w:rPr>
          <w:rFonts w:cs="Arial"/>
          <w:color w:val="auto"/>
        </w:rPr>
        <w:t xml:space="preserve"> </w:t>
      </w:r>
      <w:r w:rsidRPr="004261F7">
        <w:rPr>
          <w:rFonts w:cs="Arial"/>
          <w:color w:val="auto"/>
        </w:rPr>
        <w:t xml:space="preserve">million.  The </w:t>
      </w:r>
      <w:r w:rsidR="00EB1712" w:rsidRPr="004261F7">
        <w:rPr>
          <w:rFonts w:cs="Arial"/>
          <w:color w:val="auto"/>
        </w:rPr>
        <w:t xml:space="preserve">forecast </w:t>
      </w:r>
      <w:r w:rsidRPr="004261F7">
        <w:rPr>
          <w:rFonts w:cs="Arial"/>
          <w:color w:val="auto"/>
        </w:rPr>
        <w:t xml:space="preserve">outturn </w:t>
      </w:r>
      <w:r w:rsidR="00EB1712" w:rsidRPr="004261F7">
        <w:rPr>
          <w:rFonts w:cs="Arial"/>
          <w:color w:val="auto"/>
        </w:rPr>
        <w:t xml:space="preserve">indicates </w:t>
      </w:r>
      <w:r w:rsidR="004261F7" w:rsidRPr="004261F7">
        <w:rPr>
          <w:rFonts w:cs="Arial"/>
          <w:color w:val="auto"/>
        </w:rPr>
        <w:t>that this budgeted position will be met at year end.</w:t>
      </w:r>
      <w:r w:rsidR="00C10C69" w:rsidRPr="004261F7">
        <w:rPr>
          <w:rFonts w:cs="Arial"/>
          <w:color w:val="auto"/>
        </w:rPr>
        <w:t xml:space="preserve">   </w:t>
      </w:r>
      <w:r w:rsidR="004261F7" w:rsidRPr="004261F7">
        <w:rPr>
          <w:rFonts w:cs="Arial"/>
          <w:color w:val="auto"/>
        </w:rPr>
        <w:t xml:space="preserve">The accounts are showing an underspend on the year to date position and this relates to delays with identifying work in progress job costs through QL.  All transactions for completed jobs have been accounted for but the work in progress </w:t>
      </w:r>
      <w:r w:rsidR="000861C5">
        <w:rPr>
          <w:rFonts w:cs="Arial"/>
          <w:color w:val="auto"/>
        </w:rPr>
        <w:t>valuation for work undertaken by ODS</w:t>
      </w:r>
      <w:r w:rsidR="004261F7" w:rsidRPr="004261F7">
        <w:rPr>
          <w:rFonts w:cs="Arial"/>
          <w:color w:val="auto"/>
        </w:rPr>
        <w:t xml:space="preserve"> has been more difficult to analyse, therefore the year to date position is showing an underspend on responsive and cyclical repairs.  </w:t>
      </w:r>
    </w:p>
    <w:p w14:paraId="1F4290FE" w14:textId="77777777" w:rsidR="00D122CB" w:rsidRPr="004261F7" w:rsidRDefault="00D122CB" w:rsidP="00D122CB">
      <w:pPr>
        <w:rPr>
          <w:b/>
          <w:color w:val="auto"/>
        </w:rPr>
      </w:pPr>
      <w:r w:rsidRPr="004261F7">
        <w:rPr>
          <w:b/>
          <w:color w:val="auto"/>
        </w:rPr>
        <w:t>Capital</w:t>
      </w:r>
    </w:p>
    <w:p w14:paraId="57C11F96" w14:textId="34084AC7" w:rsidR="00736955" w:rsidRDefault="00D92900" w:rsidP="00D92900">
      <w:pPr>
        <w:pStyle w:val="ListParagraph"/>
        <w:rPr>
          <w:color w:val="auto"/>
        </w:rPr>
      </w:pPr>
      <w:r w:rsidRPr="004261F7">
        <w:rPr>
          <w:color w:val="auto"/>
        </w:rPr>
        <w:t xml:space="preserve">The budget, as approved </w:t>
      </w:r>
      <w:r w:rsidR="002B047B" w:rsidRPr="004261F7">
        <w:rPr>
          <w:color w:val="auto"/>
        </w:rPr>
        <w:t>by the</w:t>
      </w:r>
      <w:r w:rsidRPr="004261F7">
        <w:rPr>
          <w:color w:val="auto"/>
        </w:rPr>
        <w:t xml:space="preserve"> Council</w:t>
      </w:r>
      <w:r w:rsidR="002B047B" w:rsidRPr="004261F7">
        <w:rPr>
          <w:color w:val="auto"/>
        </w:rPr>
        <w:t xml:space="preserve"> at its meeting</w:t>
      </w:r>
      <w:r w:rsidRPr="004261F7">
        <w:rPr>
          <w:color w:val="auto"/>
        </w:rPr>
        <w:t xml:space="preserve"> in February 20</w:t>
      </w:r>
      <w:r w:rsidR="004261F7" w:rsidRPr="004261F7">
        <w:rPr>
          <w:color w:val="auto"/>
        </w:rPr>
        <w:t>22</w:t>
      </w:r>
      <w:r w:rsidRPr="004261F7">
        <w:rPr>
          <w:color w:val="auto"/>
        </w:rPr>
        <w:t>, was set at £</w:t>
      </w:r>
      <w:r w:rsidR="004261F7" w:rsidRPr="004261F7">
        <w:rPr>
          <w:color w:val="auto"/>
        </w:rPr>
        <w:t>210.981</w:t>
      </w:r>
      <w:r w:rsidRPr="004261F7">
        <w:rPr>
          <w:color w:val="auto"/>
        </w:rPr>
        <w:t xml:space="preserve"> million.</w:t>
      </w:r>
      <w:r w:rsidR="009A34AD" w:rsidRPr="004261F7">
        <w:rPr>
          <w:color w:val="auto"/>
        </w:rPr>
        <w:t xml:space="preserve"> </w:t>
      </w:r>
      <w:r w:rsidR="00A11896" w:rsidRPr="004261F7">
        <w:rPr>
          <w:color w:val="auto"/>
        </w:rPr>
        <w:t xml:space="preserve">Since that date the budget has been increased to take account of unspent balances rolled forward from </w:t>
      </w:r>
      <w:r w:rsidR="006124CA" w:rsidRPr="004261F7">
        <w:rPr>
          <w:color w:val="auto"/>
        </w:rPr>
        <w:t>202</w:t>
      </w:r>
      <w:r w:rsidR="004261F7" w:rsidRPr="004261F7">
        <w:rPr>
          <w:color w:val="auto"/>
        </w:rPr>
        <w:t>1</w:t>
      </w:r>
      <w:r w:rsidR="006124CA" w:rsidRPr="004261F7">
        <w:rPr>
          <w:color w:val="auto"/>
        </w:rPr>
        <w:t>-2</w:t>
      </w:r>
      <w:r w:rsidR="004261F7" w:rsidRPr="004261F7">
        <w:rPr>
          <w:color w:val="auto"/>
        </w:rPr>
        <w:t>2</w:t>
      </w:r>
      <w:r w:rsidR="00491307" w:rsidRPr="004261F7">
        <w:rPr>
          <w:color w:val="auto"/>
        </w:rPr>
        <w:t>,</w:t>
      </w:r>
      <w:r w:rsidR="004261F7" w:rsidRPr="004261F7">
        <w:rPr>
          <w:color w:val="auto"/>
        </w:rPr>
        <w:t xml:space="preserve"> and a </w:t>
      </w:r>
      <w:proofErr w:type="spellStart"/>
      <w:r w:rsidR="004261F7" w:rsidRPr="004261F7">
        <w:rPr>
          <w:color w:val="auto"/>
        </w:rPr>
        <w:t>reprofiling</w:t>
      </w:r>
      <w:proofErr w:type="spellEnd"/>
      <w:r w:rsidR="004261F7" w:rsidRPr="004261F7">
        <w:rPr>
          <w:color w:val="auto"/>
        </w:rPr>
        <w:t xml:space="preserve"> of the HRA capital programme, </w:t>
      </w:r>
      <w:r w:rsidR="00491307" w:rsidRPr="004261F7">
        <w:rPr>
          <w:color w:val="auto"/>
        </w:rPr>
        <w:t xml:space="preserve">giving a </w:t>
      </w:r>
      <w:r w:rsidR="004261F7" w:rsidRPr="004261F7">
        <w:rPr>
          <w:color w:val="auto"/>
        </w:rPr>
        <w:t xml:space="preserve">latest </w:t>
      </w:r>
      <w:r w:rsidR="00491307" w:rsidRPr="004261F7">
        <w:rPr>
          <w:color w:val="auto"/>
        </w:rPr>
        <w:t>budget of £</w:t>
      </w:r>
      <w:r w:rsidR="004261F7" w:rsidRPr="004261F7">
        <w:rPr>
          <w:color w:val="auto"/>
        </w:rPr>
        <w:t>20</w:t>
      </w:r>
      <w:r w:rsidR="00CB3F4D">
        <w:rPr>
          <w:color w:val="auto"/>
        </w:rPr>
        <w:t>8</w:t>
      </w:r>
      <w:r w:rsidR="004261F7" w:rsidRPr="004261F7">
        <w:rPr>
          <w:color w:val="auto"/>
        </w:rPr>
        <w:t>.</w:t>
      </w:r>
      <w:r w:rsidR="00CB3F4D">
        <w:rPr>
          <w:color w:val="auto"/>
        </w:rPr>
        <w:t>714</w:t>
      </w:r>
      <w:r w:rsidR="00476CDE" w:rsidRPr="004261F7">
        <w:rPr>
          <w:color w:val="auto"/>
        </w:rPr>
        <w:t xml:space="preserve"> millio</w:t>
      </w:r>
      <w:r w:rsidR="00E41699" w:rsidRPr="004261F7">
        <w:rPr>
          <w:color w:val="auto"/>
        </w:rPr>
        <w:t>n</w:t>
      </w:r>
    </w:p>
    <w:p w14:paraId="28AC2DD9" w14:textId="58433EA0" w:rsidR="00BC1CBA" w:rsidRDefault="00BC1CBA" w:rsidP="00D92900">
      <w:pPr>
        <w:pStyle w:val="ListParagraph"/>
        <w:rPr>
          <w:color w:val="auto"/>
        </w:rPr>
      </w:pPr>
      <w:r>
        <w:rPr>
          <w:color w:val="auto"/>
        </w:rPr>
        <w:t xml:space="preserve">Spend </w:t>
      </w:r>
      <w:r w:rsidRPr="004261F7">
        <w:rPr>
          <w:color w:val="auto"/>
        </w:rPr>
        <w:t>against the budget is £5.709 million which equated to 3% of the latest budget, and the forecast outturn is £18</w:t>
      </w:r>
      <w:r w:rsidR="00CB3F4D">
        <w:rPr>
          <w:color w:val="auto"/>
        </w:rPr>
        <w:t>4</w:t>
      </w:r>
      <w:r w:rsidRPr="004261F7">
        <w:rPr>
          <w:color w:val="auto"/>
        </w:rPr>
        <w:t>.</w:t>
      </w:r>
      <w:r w:rsidR="00CB3F4D">
        <w:rPr>
          <w:color w:val="auto"/>
        </w:rPr>
        <w:t>726</w:t>
      </w:r>
      <w:r>
        <w:rPr>
          <w:color w:val="auto"/>
        </w:rPr>
        <w:t xml:space="preserve"> million</w:t>
      </w:r>
      <w:r w:rsidRPr="004261F7">
        <w:rPr>
          <w:color w:val="auto"/>
        </w:rPr>
        <w:t xml:space="preserve"> with a total of £2</w:t>
      </w:r>
      <w:r w:rsidR="00CB3F4D">
        <w:rPr>
          <w:color w:val="auto"/>
        </w:rPr>
        <w:t>3</w:t>
      </w:r>
      <w:r w:rsidRPr="004261F7">
        <w:rPr>
          <w:color w:val="auto"/>
        </w:rPr>
        <w:t>.</w:t>
      </w:r>
      <w:r w:rsidR="00CB3F4D">
        <w:rPr>
          <w:color w:val="auto"/>
        </w:rPr>
        <w:t>988</w:t>
      </w:r>
      <w:r w:rsidRPr="004261F7">
        <w:rPr>
          <w:color w:val="auto"/>
        </w:rPr>
        <w:t xml:space="preserve"> million slippage</w:t>
      </w:r>
      <w:r>
        <w:rPr>
          <w:color w:val="auto"/>
        </w:rPr>
        <w:t>.</w:t>
      </w:r>
    </w:p>
    <w:p w14:paraId="6ADB6312" w14:textId="05A3883F" w:rsidR="00BC1CBA" w:rsidRPr="00FE53F3" w:rsidRDefault="00BC1CBA" w:rsidP="00FE53F3">
      <w:pPr>
        <w:rPr>
          <w:b/>
          <w:color w:val="auto"/>
        </w:rPr>
      </w:pPr>
      <w:r w:rsidRPr="00FE53F3">
        <w:rPr>
          <w:b/>
          <w:color w:val="auto"/>
        </w:rPr>
        <w:t>General Fund</w:t>
      </w:r>
    </w:p>
    <w:p w14:paraId="36D4D3BD" w14:textId="0FBCC755" w:rsidR="00BC1CBA" w:rsidRDefault="00BC1CBA" w:rsidP="00D92900">
      <w:pPr>
        <w:pStyle w:val="ListParagraph"/>
        <w:rPr>
          <w:color w:val="auto"/>
        </w:rPr>
      </w:pPr>
      <w:r>
        <w:rPr>
          <w:color w:val="auto"/>
        </w:rPr>
        <w:t xml:space="preserve">A summary of the General Fund schemes by project type is shown below and this provides an insight into the value of development projects that the Council </w:t>
      </w:r>
      <w:r>
        <w:rPr>
          <w:color w:val="auto"/>
        </w:rPr>
        <w:lastRenderedPageBreak/>
        <w:t>is undergoing.  It also highlights that a significant % of the capital programme relates to Housing Company Loans of which the spend is reliant on the progress of the Housing company development programme.</w:t>
      </w:r>
    </w:p>
    <w:p w14:paraId="5837D26E" w14:textId="16821132" w:rsidR="00BC1CBA" w:rsidRPr="00BC1CBA" w:rsidRDefault="00CB3F4D" w:rsidP="00BC1CBA">
      <w:pPr>
        <w:ind w:left="426"/>
        <w:rPr>
          <w:color w:val="auto"/>
        </w:rPr>
      </w:pPr>
      <w:r w:rsidRPr="00CB3F4D">
        <w:rPr>
          <w:noProof/>
        </w:rPr>
        <w:drawing>
          <wp:inline distT="0" distB="0" distL="0" distR="0" wp14:anchorId="520407F1" wp14:editId="6E4F1956">
            <wp:extent cx="5904230" cy="1253718"/>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1253718"/>
                    </a:xfrm>
                    <a:prstGeom prst="rect">
                      <a:avLst/>
                    </a:prstGeom>
                    <a:noFill/>
                    <a:ln>
                      <a:noFill/>
                    </a:ln>
                  </pic:spPr>
                </pic:pic>
              </a:graphicData>
            </a:graphic>
          </wp:inline>
        </w:drawing>
      </w:r>
    </w:p>
    <w:p w14:paraId="26E5A9FD" w14:textId="2CFA08D6" w:rsidR="00325E71" w:rsidRPr="004261F7" w:rsidRDefault="00BC1CBA" w:rsidP="00D92900">
      <w:pPr>
        <w:pStyle w:val="ListParagraph"/>
        <w:rPr>
          <w:color w:val="auto"/>
        </w:rPr>
      </w:pPr>
      <w:r>
        <w:rPr>
          <w:color w:val="auto"/>
        </w:rPr>
        <w:t>D</w:t>
      </w:r>
      <w:r w:rsidR="004261F7" w:rsidRPr="004261F7">
        <w:rPr>
          <w:color w:val="auto"/>
        </w:rPr>
        <w:t>etails of that slippage are:</w:t>
      </w:r>
    </w:p>
    <w:p w14:paraId="34BA1E63" w14:textId="77777777" w:rsidR="004261F7" w:rsidRPr="004261F7" w:rsidRDefault="004261F7" w:rsidP="004261F7">
      <w:pPr>
        <w:pStyle w:val="ListParagraph"/>
        <w:numPr>
          <w:ilvl w:val="0"/>
          <w:numId w:val="38"/>
        </w:numPr>
        <w:tabs>
          <w:tab w:val="left" w:pos="0"/>
        </w:tabs>
        <w:rPr>
          <w:color w:val="auto"/>
        </w:rPr>
      </w:pPr>
      <w:r w:rsidRPr="004261F7">
        <w:rPr>
          <w:color w:val="auto"/>
        </w:rPr>
        <w:t>Regeneration Property – budget of £</w:t>
      </w:r>
      <w:r w:rsidR="00B611A1">
        <w:rPr>
          <w:color w:val="auto"/>
        </w:rPr>
        <w:t>17</w:t>
      </w:r>
      <w:r w:rsidRPr="004261F7">
        <w:rPr>
          <w:color w:val="auto"/>
        </w:rPr>
        <w:t xml:space="preserve">.0 million has been slipped into future years as </w:t>
      </w:r>
      <w:r w:rsidR="00B611A1">
        <w:rPr>
          <w:color w:val="auto"/>
        </w:rPr>
        <w:t xml:space="preserve">one purchase is pending but as other </w:t>
      </w:r>
      <w:r w:rsidRPr="004261F7">
        <w:rPr>
          <w:color w:val="auto"/>
        </w:rPr>
        <w:t>options remain limited</w:t>
      </w:r>
      <w:r w:rsidR="00B611A1">
        <w:rPr>
          <w:color w:val="auto"/>
        </w:rPr>
        <w:t xml:space="preserve"> the remaining budget has been slipped</w:t>
      </w:r>
      <w:r w:rsidRPr="004261F7">
        <w:rPr>
          <w:color w:val="auto"/>
        </w:rPr>
        <w:t xml:space="preserve">, if an opportunity does arise in year the budget can be brought </w:t>
      </w:r>
      <w:r w:rsidR="000861C5">
        <w:rPr>
          <w:color w:val="auto"/>
        </w:rPr>
        <w:t>forwards</w:t>
      </w:r>
    </w:p>
    <w:p w14:paraId="632C9ABF" w14:textId="77777777" w:rsidR="004261F7" w:rsidRDefault="004261F7" w:rsidP="004261F7">
      <w:pPr>
        <w:pStyle w:val="ListParagraph"/>
        <w:numPr>
          <w:ilvl w:val="0"/>
          <w:numId w:val="38"/>
        </w:numPr>
        <w:tabs>
          <w:tab w:val="left" w:pos="0"/>
        </w:tabs>
        <w:rPr>
          <w:color w:val="000000" w:themeColor="text1"/>
        </w:rPr>
      </w:pPr>
      <w:r w:rsidRPr="004261F7">
        <w:rPr>
          <w:color w:val="auto"/>
        </w:rPr>
        <w:t xml:space="preserve">Barton Park and Housing company loans – net slippage of £6.044 million to reflect the </w:t>
      </w:r>
      <w:proofErr w:type="spellStart"/>
      <w:r w:rsidRPr="004261F7">
        <w:rPr>
          <w:color w:val="auto"/>
        </w:rPr>
        <w:t>reprofiling</w:t>
      </w:r>
      <w:proofErr w:type="spellEnd"/>
      <w:r w:rsidRPr="004261F7">
        <w:rPr>
          <w:color w:val="auto"/>
        </w:rPr>
        <w:t xml:space="preserve"> of the developments schemes in line with the revised </w:t>
      </w:r>
      <w:r w:rsidR="000861C5">
        <w:rPr>
          <w:color w:val="auto"/>
        </w:rPr>
        <w:t>OX</w:t>
      </w:r>
      <w:r w:rsidR="00867800">
        <w:rPr>
          <w:color w:val="auto"/>
        </w:rPr>
        <w:t xml:space="preserve"> P</w:t>
      </w:r>
      <w:r w:rsidR="000861C5">
        <w:rPr>
          <w:color w:val="auto"/>
        </w:rPr>
        <w:t xml:space="preserve">lace </w:t>
      </w:r>
      <w:r w:rsidRPr="00132872">
        <w:rPr>
          <w:color w:val="000000" w:themeColor="text1"/>
        </w:rPr>
        <w:t>business plan</w:t>
      </w:r>
    </w:p>
    <w:p w14:paraId="6B8BE94F" w14:textId="124932AC" w:rsidR="00CB3F4D" w:rsidRDefault="00CB3F4D" w:rsidP="004261F7">
      <w:pPr>
        <w:pStyle w:val="ListParagraph"/>
        <w:numPr>
          <w:ilvl w:val="0"/>
          <w:numId w:val="38"/>
        </w:numPr>
        <w:tabs>
          <w:tab w:val="left" w:pos="0"/>
        </w:tabs>
        <w:rPr>
          <w:color w:val="000000" w:themeColor="text1"/>
        </w:rPr>
      </w:pPr>
      <w:r>
        <w:rPr>
          <w:color w:val="auto"/>
        </w:rPr>
        <w:t xml:space="preserve">Depot Rationalisation – slippage of £0.967 million leaving £0.500 million in the current year to cover feasibility and </w:t>
      </w:r>
      <w:proofErr w:type="spellStart"/>
      <w:r>
        <w:rPr>
          <w:color w:val="auto"/>
        </w:rPr>
        <w:t>Cowley</w:t>
      </w:r>
      <w:proofErr w:type="spellEnd"/>
      <w:r>
        <w:rPr>
          <w:color w:val="auto"/>
        </w:rPr>
        <w:t xml:space="preserve"> Marsh extension work.</w:t>
      </w:r>
    </w:p>
    <w:p w14:paraId="158BC602" w14:textId="21F49185" w:rsidR="001A7F68" w:rsidRPr="00132872" w:rsidRDefault="00BC1CBA" w:rsidP="00BC1CBA">
      <w:pPr>
        <w:pStyle w:val="Heading1"/>
        <w:rPr>
          <w:color w:val="000000" w:themeColor="text1"/>
        </w:rPr>
      </w:pPr>
      <w:r>
        <w:rPr>
          <w:color w:val="000000" w:themeColor="text1"/>
        </w:rPr>
        <w:t>HRA</w:t>
      </w:r>
    </w:p>
    <w:p w14:paraId="512058C7" w14:textId="087DB1B5" w:rsidR="00BC1CBA" w:rsidRDefault="00BC1CBA" w:rsidP="00802422">
      <w:pPr>
        <w:pStyle w:val="ListParagraph"/>
        <w:rPr>
          <w:color w:val="000000" w:themeColor="text1"/>
        </w:rPr>
      </w:pPr>
      <w:r>
        <w:rPr>
          <w:color w:val="000000" w:themeColor="text1"/>
        </w:rPr>
        <w:t>A summary of the HRA schemes by project type is shown in the table below, and this shows that a significant element of the capital programme is a rolling programme, for example Kitchen and bathroom replacements, heating and electrics etc.  The ot</w:t>
      </w:r>
      <w:r w:rsidR="005E11ED">
        <w:rPr>
          <w:color w:val="000000" w:themeColor="text1"/>
        </w:rPr>
        <w:t>her large element is the Other Capital S</w:t>
      </w:r>
      <w:r>
        <w:rPr>
          <w:color w:val="000000" w:themeColor="text1"/>
        </w:rPr>
        <w:t xml:space="preserve">pend classification, and these schemes relate to acquisitions and developments. </w:t>
      </w:r>
    </w:p>
    <w:p w14:paraId="26481AD5" w14:textId="65306106" w:rsidR="00BC1CBA" w:rsidRPr="00BC1CBA" w:rsidRDefault="00BC1CBA" w:rsidP="00BC1CBA">
      <w:pPr>
        <w:rPr>
          <w:color w:val="000000" w:themeColor="text1"/>
        </w:rPr>
      </w:pPr>
      <w:r w:rsidRPr="00BC1CBA">
        <w:rPr>
          <w:noProof/>
        </w:rPr>
        <w:drawing>
          <wp:inline distT="0" distB="0" distL="0" distR="0" wp14:anchorId="13069A8B" wp14:editId="1E8C6026">
            <wp:extent cx="5904230" cy="99122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230" cy="991221"/>
                    </a:xfrm>
                    <a:prstGeom prst="rect">
                      <a:avLst/>
                    </a:prstGeom>
                    <a:noFill/>
                    <a:ln>
                      <a:noFill/>
                    </a:ln>
                  </pic:spPr>
                </pic:pic>
              </a:graphicData>
            </a:graphic>
          </wp:inline>
        </w:drawing>
      </w:r>
    </w:p>
    <w:p w14:paraId="4697B09E" w14:textId="6AA345D4" w:rsidR="00BC1CBA" w:rsidRPr="00BC1CBA" w:rsidRDefault="00BC1CBA" w:rsidP="00BC1CBA">
      <w:pPr>
        <w:rPr>
          <w:b/>
          <w:color w:val="000000" w:themeColor="text1"/>
        </w:rPr>
      </w:pPr>
      <w:r w:rsidRPr="00BC1CBA">
        <w:rPr>
          <w:b/>
          <w:color w:val="000000" w:themeColor="text1"/>
        </w:rPr>
        <w:t>Corporate Risk</w:t>
      </w:r>
    </w:p>
    <w:p w14:paraId="2E38043C" w14:textId="77777777" w:rsidR="00FA10A6" w:rsidRPr="00132872" w:rsidRDefault="00FA10A6" w:rsidP="00802422">
      <w:pPr>
        <w:pStyle w:val="ListParagraph"/>
        <w:rPr>
          <w:color w:val="000000" w:themeColor="text1"/>
        </w:rPr>
      </w:pPr>
      <w:r w:rsidRPr="00132872">
        <w:rPr>
          <w:color w:val="000000" w:themeColor="text1"/>
        </w:rPr>
        <w:t xml:space="preserve">There </w:t>
      </w:r>
      <w:r w:rsidR="00952FBA" w:rsidRPr="00132872">
        <w:rPr>
          <w:color w:val="000000" w:themeColor="text1"/>
        </w:rPr>
        <w:t xml:space="preserve">are </w:t>
      </w:r>
      <w:r w:rsidR="003A362C" w:rsidRPr="00132872">
        <w:rPr>
          <w:color w:val="000000" w:themeColor="text1"/>
        </w:rPr>
        <w:t>five</w:t>
      </w:r>
      <w:r w:rsidR="00952FBA" w:rsidRPr="00132872">
        <w:rPr>
          <w:color w:val="000000" w:themeColor="text1"/>
        </w:rPr>
        <w:t xml:space="preserve"> red </w:t>
      </w:r>
      <w:r w:rsidR="00A11423" w:rsidRPr="00132872">
        <w:rPr>
          <w:color w:val="000000" w:themeColor="text1"/>
        </w:rPr>
        <w:t>risk</w:t>
      </w:r>
      <w:r w:rsidRPr="00132872">
        <w:rPr>
          <w:color w:val="000000" w:themeColor="text1"/>
        </w:rPr>
        <w:t>s</w:t>
      </w:r>
      <w:r w:rsidR="00D04C25" w:rsidRPr="00132872">
        <w:rPr>
          <w:color w:val="000000" w:themeColor="text1"/>
        </w:rPr>
        <w:t xml:space="preserve"> on the current Corporate Risk R</w:t>
      </w:r>
      <w:r w:rsidR="00A11423" w:rsidRPr="00132872">
        <w:rPr>
          <w:color w:val="000000" w:themeColor="text1"/>
        </w:rPr>
        <w:t xml:space="preserve">egister, which </w:t>
      </w:r>
      <w:r w:rsidR="00952FBA" w:rsidRPr="00132872">
        <w:rPr>
          <w:color w:val="000000" w:themeColor="text1"/>
        </w:rPr>
        <w:t>are</w:t>
      </w:r>
      <w:r w:rsidRPr="00132872">
        <w:rPr>
          <w:color w:val="000000" w:themeColor="text1"/>
        </w:rPr>
        <w:t xml:space="preserve"> as follows:</w:t>
      </w:r>
    </w:p>
    <w:p w14:paraId="36072C8B" w14:textId="77777777" w:rsidR="00952FBA" w:rsidRPr="00132872" w:rsidRDefault="00952FBA" w:rsidP="00952FBA">
      <w:pPr>
        <w:numPr>
          <w:ilvl w:val="1"/>
          <w:numId w:val="37"/>
        </w:numPr>
        <w:spacing w:after="0"/>
        <w:ind w:left="1134" w:hanging="425"/>
        <w:rPr>
          <w:rFonts w:cs="Arial"/>
          <w:color w:val="000000" w:themeColor="text1"/>
        </w:rPr>
      </w:pPr>
      <w:r w:rsidRPr="00132872">
        <w:rPr>
          <w:rFonts w:cs="Arial"/>
          <w:b/>
          <w:color w:val="000000" w:themeColor="text1"/>
        </w:rPr>
        <w:t>Housing</w:t>
      </w:r>
      <w:r w:rsidRPr="00132872">
        <w:rPr>
          <w:rFonts w:cs="Arial"/>
          <w:color w:val="000000" w:themeColor="text1"/>
        </w:rPr>
        <w:t xml:space="preserve"> – the Council has key priorities around housing which include ensuring housi</w:t>
      </w:r>
      <w:r w:rsidR="00927B21" w:rsidRPr="00132872">
        <w:rPr>
          <w:rFonts w:cs="Arial"/>
          <w:color w:val="000000" w:themeColor="text1"/>
        </w:rPr>
        <w:t>ng delivery and supply for the c</w:t>
      </w:r>
      <w:r w:rsidRPr="00132872">
        <w:rPr>
          <w:rFonts w:cs="Arial"/>
          <w:color w:val="000000" w:themeColor="text1"/>
        </w:rPr>
        <w:t>ity of Oxford and enabling sufficient 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132872" w:rsidDel="0081475D">
        <w:rPr>
          <w:rFonts w:cs="Arial"/>
          <w:color w:val="000000" w:themeColor="text1"/>
        </w:rPr>
        <w:t xml:space="preserve"> </w:t>
      </w:r>
      <w:r w:rsidRPr="00132872">
        <w:rPr>
          <w:rFonts w:cs="Arial"/>
          <w:color w:val="000000" w:themeColor="text1"/>
        </w:rPr>
        <w:t xml:space="preserve">lettings. In addition the Council’s housing </w:t>
      </w:r>
      <w:r w:rsidRPr="00132872">
        <w:rPr>
          <w:rFonts w:cs="Arial"/>
          <w:color w:val="000000" w:themeColor="text1"/>
        </w:rPr>
        <w:lastRenderedPageBreak/>
        <w:t xml:space="preserve">companies are in the process of constructing new affordable homes </w:t>
      </w:r>
      <w:r w:rsidR="003A362C" w:rsidRPr="00132872">
        <w:rPr>
          <w:rFonts w:cs="Arial"/>
          <w:color w:val="000000" w:themeColor="text1"/>
        </w:rPr>
        <w:t>the social housing elements will be purchased by the Council</w:t>
      </w:r>
      <w:r w:rsidR="00630C9F" w:rsidRPr="00132872">
        <w:rPr>
          <w:rFonts w:cs="Arial"/>
          <w:color w:val="000000" w:themeColor="text1"/>
        </w:rPr>
        <w:t>;</w:t>
      </w:r>
    </w:p>
    <w:p w14:paraId="4C44938E" w14:textId="77777777" w:rsidR="00952FBA" w:rsidRPr="00132872" w:rsidRDefault="00952FBA" w:rsidP="00952FBA">
      <w:pPr>
        <w:ind w:left="1855"/>
        <w:rPr>
          <w:rFonts w:cs="Arial"/>
          <w:color w:val="000000" w:themeColor="text1"/>
        </w:rPr>
      </w:pPr>
    </w:p>
    <w:p w14:paraId="7DDD9E3A" w14:textId="053697A8" w:rsidR="003A362C" w:rsidRPr="00132872" w:rsidRDefault="00952FBA" w:rsidP="00952FBA">
      <w:pPr>
        <w:numPr>
          <w:ilvl w:val="1"/>
          <w:numId w:val="37"/>
        </w:numPr>
        <w:spacing w:after="0"/>
        <w:ind w:left="1134" w:hanging="425"/>
        <w:rPr>
          <w:rFonts w:cs="Arial"/>
          <w:color w:val="000000" w:themeColor="text1"/>
        </w:rPr>
      </w:pPr>
      <w:r w:rsidRPr="00132872">
        <w:rPr>
          <w:rFonts w:cs="Arial"/>
          <w:b/>
          <w:color w:val="000000" w:themeColor="text1"/>
        </w:rPr>
        <w:t>Economic Growth</w:t>
      </w:r>
      <w:r w:rsidRPr="00132872">
        <w:rPr>
          <w:rFonts w:cs="Arial"/>
          <w:color w:val="000000" w:themeColor="text1"/>
        </w:rPr>
        <w:t xml:space="preserve"> – this relates to local, national or international factors adversely affecting the economic growth of the City.</w:t>
      </w:r>
      <w:r w:rsidR="00630C9F" w:rsidRPr="00132872">
        <w:rPr>
          <w:rFonts w:cs="Arial"/>
          <w:color w:val="000000" w:themeColor="text1"/>
        </w:rPr>
        <w:t xml:space="preserve">  </w:t>
      </w:r>
      <w:r w:rsidR="00FE53F3">
        <w:rPr>
          <w:rFonts w:cs="Arial"/>
          <w:color w:val="000000" w:themeColor="text1"/>
        </w:rPr>
        <w:t>Whilst CO</w:t>
      </w:r>
      <w:r w:rsidR="003A362C" w:rsidRPr="00132872">
        <w:rPr>
          <w:rFonts w:cs="Arial"/>
          <w:color w:val="000000" w:themeColor="text1"/>
        </w:rPr>
        <w:t>V</w:t>
      </w:r>
      <w:r w:rsidR="00FE53F3">
        <w:rPr>
          <w:rFonts w:cs="Arial"/>
          <w:color w:val="000000" w:themeColor="text1"/>
        </w:rPr>
        <w:t>I</w:t>
      </w:r>
      <w:r w:rsidR="003A362C" w:rsidRPr="00132872">
        <w:rPr>
          <w:rFonts w:cs="Arial"/>
          <w:color w:val="000000" w:themeColor="text1"/>
        </w:rPr>
        <w:t>D 19 restrictions are currently lifted, the supply chain challenges relating to Brexit, the war in Europe, energy security and related inflationary issues are a heightened risk.  The Council is able to affect this risk through the delivery of the Oxford Economic Strategy and City Centre Vision Action Plan,  This aims to stimulate recovery through targeted measures and the Council will work with Economic Growth Board &amp; City Centre Task Force and engage with businesses to understand long term impact of COVID and EU Transition, taking action where possible,  Macroeconomic impacts are outside the Council’s direct control but the effects can be managed and mitigate</w:t>
      </w:r>
      <w:r w:rsidR="00AE303E">
        <w:rPr>
          <w:rFonts w:cs="Arial"/>
          <w:color w:val="000000" w:themeColor="text1"/>
        </w:rPr>
        <w:t>d</w:t>
      </w:r>
      <w:r w:rsidR="003A362C" w:rsidRPr="00132872">
        <w:rPr>
          <w:rFonts w:cs="Arial"/>
          <w:color w:val="000000" w:themeColor="text1"/>
        </w:rPr>
        <w:t xml:space="preserve"> at the local level</w:t>
      </w:r>
      <w:r w:rsidR="00630C9F" w:rsidRPr="00132872">
        <w:rPr>
          <w:rFonts w:cs="Arial"/>
          <w:color w:val="000000" w:themeColor="text1"/>
        </w:rPr>
        <w:t>;</w:t>
      </w:r>
    </w:p>
    <w:p w14:paraId="3A0C09A3" w14:textId="77777777" w:rsidR="003A362C" w:rsidRPr="00132872" w:rsidRDefault="003A362C" w:rsidP="003A362C">
      <w:pPr>
        <w:pStyle w:val="ListParagraph"/>
        <w:numPr>
          <w:ilvl w:val="0"/>
          <w:numId w:val="0"/>
        </w:numPr>
        <w:ind w:left="786"/>
        <w:rPr>
          <w:rFonts w:cs="Arial"/>
          <w:b/>
          <w:color w:val="000000" w:themeColor="text1"/>
        </w:rPr>
      </w:pPr>
    </w:p>
    <w:p w14:paraId="7ADA81B6" w14:textId="77777777" w:rsidR="00082E42" w:rsidRPr="00132872" w:rsidRDefault="003A362C" w:rsidP="00082E42">
      <w:pPr>
        <w:numPr>
          <w:ilvl w:val="1"/>
          <w:numId w:val="37"/>
        </w:numPr>
        <w:spacing w:after="0"/>
        <w:ind w:left="1134" w:hanging="425"/>
        <w:rPr>
          <w:rFonts w:cs="Arial"/>
          <w:color w:val="000000" w:themeColor="text1"/>
        </w:rPr>
      </w:pPr>
      <w:r w:rsidRPr="00132872">
        <w:rPr>
          <w:rFonts w:cs="Arial"/>
          <w:b/>
          <w:color w:val="000000" w:themeColor="text1"/>
        </w:rPr>
        <w:t>Negative Impact of Climate change</w:t>
      </w:r>
      <w:r w:rsidRPr="00132872">
        <w:rPr>
          <w:rFonts w:cs="Arial"/>
          <w:color w:val="000000" w:themeColor="text1"/>
        </w:rPr>
        <w:t xml:space="preserve"> – areas of concern are flooding, which is highly weather dependent; poor air quality and increased episodes of excess heat.  </w:t>
      </w:r>
      <w:r w:rsidR="00952FBA" w:rsidRPr="00132872">
        <w:rPr>
          <w:rFonts w:cs="Arial"/>
          <w:color w:val="000000" w:themeColor="text1"/>
        </w:rPr>
        <w:t xml:space="preserve"> </w:t>
      </w:r>
      <w:r w:rsidRPr="00132872">
        <w:rPr>
          <w:rFonts w:cs="Arial"/>
          <w:color w:val="000000" w:themeColor="text1"/>
        </w:rPr>
        <w:t xml:space="preserve">The Council does not have control over </w:t>
      </w:r>
      <w:r w:rsidR="00082E42" w:rsidRPr="00132872">
        <w:rPr>
          <w:rFonts w:cs="Arial"/>
          <w:color w:val="000000" w:themeColor="text1"/>
        </w:rPr>
        <w:t xml:space="preserve">the global climate positions but it can make changes and improvements within its sphere of influence.  The Council has made action on climate change one of its corporate priorities and has stepped up its programme of action, partnering and influencing to seek to mitigate social health and environmental impacts on the City. The Oxford Flood Alleviation Scheme (OFAS) scheme continues to progress.  Work is ongoing through Zero Carbon Oxfordshire Partnership (ZCOP) to reduce carbon emissions across the City.  Oxford City Council’s Carbon Management Plan, ongoing work around flood mitigation, tree planting and partnership with EA-led programme to deliver the OFAS scheme.  Control measure relating to advocacy, clear communication and negotiation over our land assets, in particular at </w:t>
      </w:r>
      <w:proofErr w:type="spellStart"/>
      <w:r w:rsidR="00082E42" w:rsidRPr="00132872">
        <w:rPr>
          <w:rFonts w:cs="Arial"/>
          <w:color w:val="000000" w:themeColor="text1"/>
        </w:rPr>
        <w:t>Seacourt</w:t>
      </w:r>
      <w:proofErr w:type="spellEnd"/>
      <w:r w:rsidR="00082E42" w:rsidRPr="00132872">
        <w:rPr>
          <w:rFonts w:cs="Arial"/>
          <w:color w:val="000000" w:themeColor="text1"/>
        </w:rPr>
        <w:t xml:space="preserve"> and Redbridge Park and Ride sites are also employed.</w:t>
      </w:r>
    </w:p>
    <w:p w14:paraId="2BAF189B" w14:textId="77777777" w:rsidR="00082E42" w:rsidRPr="00132872" w:rsidRDefault="00082E42" w:rsidP="00082E42">
      <w:pPr>
        <w:pStyle w:val="ListParagraph"/>
        <w:numPr>
          <w:ilvl w:val="0"/>
          <w:numId w:val="0"/>
        </w:numPr>
        <w:ind w:left="786"/>
        <w:rPr>
          <w:rFonts w:cs="Arial"/>
          <w:color w:val="000000" w:themeColor="text1"/>
        </w:rPr>
      </w:pPr>
    </w:p>
    <w:p w14:paraId="774FC4F4" w14:textId="3AEB1291" w:rsidR="00082E42" w:rsidRPr="00132872" w:rsidRDefault="00082E42" w:rsidP="00952FBA">
      <w:pPr>
        <w:numPr>
          <w:ilvl w:val="1"/>
          <w:numId w:val="37"/>
        </w:numPr>
        <w:spacing w:after="0"/>
        <w:ind w:left="1134" w:hanging="425"/>
        <w:rPr>
          <w:rFonts w:cs="Arial"/>
          <w:color w:val="000000" w:themeColor="text1"/>
        </w:rPr>
      </w:pPr>
      <w:r w:rsidRPr="00132872">
        <w:rPr>
          <w:rFonts w:cs="Arial"/>
          <w:b/>
          <w:color w:val="000000" w:themeColor="text1"/>
        </w:rPr>
        <w:t>Terrorism</w:t>
      </w:r>
      <w:r w:rsidRPr="00132872">
        <w:rPr>
          <w:rFonts w:cs="Arial"/>
          <w:color w:val="000000" w:themeColor="text1"/>
        </w:rPr>
        <w:t xml:space="preserve"> – this relates to a potential terrorist incident in the city centre that adversely affect normal life in the city, including a negative impact on the Council’s business or targets an individu</w:t>
      </w:r>
      <w:r w:rsidR="005E11ED">
        <w:rPr>
          <w:rFonts w:cs="Arial"/>
          <w:color w:val="000000" w:themeColor="text1"/>
        </w:rPr>
        <w:t>al event such as May Morning or St.</w:t>
      </w:r>
      <w:r w:rsidRPr="00132872">
        <w:rPr>
          <w:rFonts w:cs="Arial"/>
          <w:color w:val="000000" w:themeColor="text1"/>
        </w:rPr>
        <w:t xml:space="preserve"> Giles’ Fair.  Dependent on nature of attack and where it occurs could result in lock down of buildings, including Council offices, </w:t>
      </w:r>
      <w:r w:rsidR="00FE53F3">
        <w:rPr>
          <w:rFonts w:cs="Arial"/>
          <w:color w:val="000000" w:themeColor="text1"/>
        </w:rPr>
        <w:t>severe</w:t>
      </w:r>
      <w:r w:rsidRPr="00132872">
        <w:rPr>
          <w:rFonts w:cs="Arial"/>
          <w:color w:val="000000" w:themeColor="text1"/>
        </w:rPr>
        <w:t xml:space="preserve"> travel disruption and a need to disperse large numbers of people to places of safety.  The Council cannot prevent a terrorist attack but working with partners, particularly the Police and County Council on the Crowded Places Plan, which includes mitigation intervention, it can hopefully help reduce impact.</w:t>
      </w:r>
    </w:p>
    <w:p w14:paraId="4A43ABE4" w14:textId="77777777" w:rsidR="00082E42" w:rsidRPr="00132872" w:rsidRDefault="00082E42" w:rsidP="00082E42">
      <w:pPr>
        <w:pStyle w:val="ListParagraph"/>
        <w:numPr>
          <w:ilvl w:val="0"/>
          <w:numId w:val="0"/>
        </w:numPr>
        <w:ind w:left="786"/>
        <w:rPr>
          <w:rFonts w:cs="Arial"/>
          <w:color w:val="000000" w:themeColor="text1"/>
        </w:rPr>
      </w:pPr>
    </w:p>
    <w:p w14:paraId="21262F5C" w14:textId="67C17A45" w:rsidR="00082E42" w:rsidRPr="00132872" w:rsidRDefault="00082E42" w:rsidP="00952FBA">
      <w:pPr>
        <w:numPr>
          <w:ilvl w:val="1"/>
          <w:numId w:val="37"/>
        </w:numPr>
        <w:spacing w:after="0"/>
        <w:ind w:left="1134" w:hanging="425"/>
        <w:rPr>
          <w:rFonts w:cs="Arial"/>
          <w:color w:val="000000" w:themeColor="text1"/>
        </w:rPr>
      </w:pPr>
      <w:r w:rsidRPr="00867800">
        <w:rPr>
          <w:rFonts w:cs="Arial"/>
          <w:b/>
          <w:color w:val="000000" w:themeColor="text1"/>
        </w:rPr>
        <w:t>Delivery of Services by External Suppliers/Partners/Supply Chain</w:t>
      </w:r>
      <w:r w:rsidRPr="00132872">
        <w:rPr>
          <w:rFonts w:cs="Arial"/>
          <w:color w:val="000000" w:themeColor="text1"/>
        </w:rPr>
        <w:t xml:space="preserve"> – this relates to the </w:t>
      </w:r>
      <w:r w:rsidR="005E11ED" w:rsidRPr="00132872">
        <w:rPr>
          <w:rFonts w:cs="Arial"/>
          <w:color w:val="000000" w:themeColor="text1"/>
        </w:rPr>
        <w:t>Council’s</w:t>
      </w:r>
      <w:r w:rsidRPr="00132872">
        <w:rPr>
          <w:rFonts w:cs="Arial"/>
          <w:color w:val="000000" w:themeColor="text1"/>
        </w:rPr>
        <w:t xml:space="preserve"> arrangements for the management of its leisure centres by an external body.  The external partner continues to focus on embedding their new delivery model which in summary is a reduction of staff in the Oxford contract, a concierge cashless system, they have exited their offices, reduced support services, alongside implementing COVID safe procedures.  Recruitment is a challenge</w:t>
      </w:r>
      <w:r w:rsidR="00132872" w:rsidRPr="00132872">
        <w:rPr>
          <w:rFonts w:cs="Arial"/>
          <w:color w:val="000000" w:themeColor="text1"/>
        </w:rPr>
        <w:t xml:space="preserve"> and there is a requirement for </w:t>
      </w:r>
      <w:r w:rsidR="00132872" w:rsidRPr="00132872">
        <w:rPr>
          <w:rFonts w:cs="Arial"/>
          <w:color w:val="000000" w:themeColor="text1"/>
        </w:rPr>
        <w:lastRenderedPageBreak/>
        <w:t xml:space="preserve">safeguarding checks, induction and mandatory training before employees can commence duties.  </w:t>
      </w:r>
    </w:p>
    <w:p w14:paraId="50F3949E" w14:textId="77777777" w:rsidR="00952FBA" w:rsidRPr="00132872" w:rsidRDefault="00952FBA" w:rsidP="00952FBA">
      <w:pPr>
        <w:pStyle w:val="ListParagraph"/>
        <w:numPr>
          <w:ilvl w:val="0"/>
          <w:numId w:val="0"/>
        </w:numPr>
        <w:ind w:left="426"/>
        <w:rPr>
          <w:rFonts w:cs="Arial"/>
          <w:color w:val="000000" w:themeColor="text1"/>
        </w:rPr>
      </w:pPr>
    </w:p>
    <w:p w14:paraId="2B995415" w14:textId="77777777" w:rsidR="00BC254C" w:rsidRPr="00132872" w:rsidRDefault="00BC254C" w:rsidP="00494A91">
      <w:pPr>
        <w:pStyle w:val="ListParagraph"/>
        <w:rPr>
          <w:color w:val="000000" w:themeColor="text1"/>
        </w:rPr>
      </w:pPr>
      <w:r w:rsidRPr="00132872">
        <w:rPr>
          <w:color w:val="000000" w:themeColor="text1"/>
        </w:rPr>
        <w:t>The table below shows the level of Red, Amber and Green current risks over the last 12 months:</w:t>
      </w:r>
    </w:p>
    <w:tbl>
      <w:tblPr>
        <w:tblStyle w:val="TableGrid"/>
        <w:tblW w:w="0" w:type="auto"/>
        <w:tblInd w:w="426" w:type="dxa"/>
        <w:tblLook w:val="04A0" w:firstRow="1" w:lastRow="0" w:firstColumn="1" w:lastColumn="0" w:noHBand="0" w:noVBand="1"/>
      </w:tblPr>
      <w:tblGrid>
        <w:gridCol w:w="1774"/>
        <w:gridCol w:w="1197"/>
        <w:gridCol w:w="1134"/>
        <w:gridCol w:w="1276"/>
        <w:gridCol w:w="1418"/>
      </w:tblGrid>
      <w:tr w:rsidR="00132872" w:rsidRPr="00132872" w14:paraId="3874E156" w14:textId="77777777" w:rsidTr="00494A91">
        <w:tc>
          <w:tcPr>
            <w:tcW w:w="1774" w:type="dxa"/>
          </w:tcPr>
          <w:p w14:paraId="343B6593" w14:textId="77777777" w:rsidR="00952FBA" w:rsidRPr="00132872" w:rsidRDefault="00952FBA" w:rsidP="00952FBA">
            <w:pPr>
              <w:pStyle w:val="ListParagraph"/>
              <w:numPr>
                <w:ilvl w:val="0"/>
                <w:numId w:val="0"/>
              </w:numPr>
              <w:rPr>
                <w:b/>
                <w:color w:val="000000" w:themeColor="text1"/>
              </w:rPr>
            </w:pPr>
            <w:r w:rsidRPr="00132872">
              <w:rPr>
                <w:b/>
                <w:color w:val="000000" w:themeColor="text1"/>
              </w:rPr>
              <w:t>Current Risk</w:t>
            </w:r>
          </w:p>
        </w:tc>
        <w:tc>
          <w:tcPr>
            <w:tcW w:w="1197" w:type="dxa"/>
            <w:vAlign w:val="center"/>
          </w:tcPr>
          <w:p w14:paraId="65B477DD" w14:textId="77777777" w:rsidR="00952FBA" w:rsidRPr="00132872" w:rsidRDefault="00132872" w:rsidP="00952FBA">
            <w:pPr>
              <w:pStyle w:val="ListParagraph"/>
              <w:numPr>
                <w:ilvl w:val="0"/>
                <w:numId w:val="0"/>
              </w:numPr>
              <w:jc w:val="right"/>
              <w:rPr>
                <w:b/>
                <w:color w:val="000000" w:themeColor="text1"/>
              </w:rPr>
            </w:pPr>
            <w:r w:rsidRPr="00132872">
              <w:rPr>
                <w:rFonts w:cs="Arial"/>
                <w:b/>
                <w:bCs/>
                <w:color w:val="000000" w:themeColor="text1"/>
              </w:rPr>
              <w:t>Q2 2021</w:t>
            </w:r>
            <w:r w:rsidR="00EB50A5" w:rsidRPr="00132872">
              <w:rPr>
                <w:rFonts w:cs="Arial"/>
                <w:b/>
                <w:bCs/>
                <w:color w:val="000000" w:themeColor="text1"/>
              </w:rPr>
              <w:t>/2</w:t>
            </w:r>
            <w:r w:rsidRPr="00132872">
              <w:rPr>
                <w:rFonts w:cs="Arial"/>
                <w:b/>
                <w:bCs/>
                <w:color w:val="000000" w:themeColor="text1"/>
              </w:rPr>
              <w:t>2</w:t>
            </w:r>
          </w:p>
        </w:tc>
        <w:tc>
          <w:tcPr>
            <w:tcW w:w="1134" w:type="dxa"/>
            <w:vAlign w:val="center"/>
          </w:tcPr>
          <w:p w14:paraId="576753B8" w14:textId="77777777" w:rsidR="00952FBA" w:rsidRPr="00132872" w:rsidRDefault="00132872" w:rsidP="00952FBA">
            <w:pPr>
              <w:pStyle w:val="ListParagraph"/>
              <w:numPr>
                <w:ilvl w:val="0"/>
                <w:numId w:val="0"/>
              </w:numPr>
              <w:jc w:val="right"/>
              <w:rPr>
                <w:b/>
                <w:color w:val="000000" w:themeColor="text1"/>
              </w:rPr>
            </w:pPr>
            <w:r w:rsidRPr="00132872">
              <w:rPr>
                <w:rFonts w:cs="Arial"/>
                <w:b/>
                <w:bCs/>
                <w:color w:val="000000" w:themeColor="text1"/>
              </w:rPr>
              <w:t>Q3 2021</w:t>
            </w:r>
            <w:r w:rsidR="00EB50A5" w:rsidRPr="00132872">
              <w:rPr>
                <w:rFonts w:cs="Arial"/>
                <w:b/>
                <w:bCs/>
                <w:color w:val="000000" w:themeColor="text1"/>
              </w:rPr>
              <w:t>/2</w:t>
            </w:r>
            <w:r w:rsidRPr="00132872">
              <w:rPr>
                <w:rFonts w:cs="Arial"/>
                <w:b/>
                <w:bCs/>
                <w:color w:val="000000" w:themeColor="text1"/>
              </w:rPr>
              <w:t>2</w:t>
            </w:r>
          </w:p>
        </w:tc>
        <w:tc>
          <w:tcPr>
            <w:tcW w:w="1276" w:type="dxa"/>
            <w:vAlign w:val="center"/>
          </w:tcPr>
          <w:p w14:paraId="32038C0B" w14:textId="77777777" w:rsidR="00952FBA" w:rsidRPr="00132872" w:rsidRDefault="00EB50A5" w:rsidP="00132872">
            <w:pPr>
              <w:pStyle w:val="ListParagraph"/>
              <w:numPr>
                <w:ilvl w:val="0"/>
                <w:numId w:val="0"/>
              </w:numPr>
              <w:jc w:val="right"/>
              <w:rPr>
                <w:b/>
                <w:color w:val="000000" w:themeColor="text1"/>
              </w:rPr>
            </w:pPr>
            <w:r w:rsidRPr="00132872">
              <w:rPr>
                <w:rFonts w:cs="Arial"/>
                <w:b/>
                <w:bCs/>
                <w:color w:val="000000" w:themeColor="text1"/>
              </w:rPr>
              <w:t>Q4 20</w:t>
            </w:r>
            <w:r w:rsidR="00132872" w:rsidRPr="00132872">
              <w:rPr>
                <w:rFonts w:cs="Arial"/>
                <w:b/>
                <w:bCs/>
                <w:color w:val="000000" w:themeColor="text1"/>
              </w:rPr>
              <w:t>21</w:t>
            </w:r>
            <w:r w:rsidRPr="00132872">
              <w:rPr>
                <w:rFonts w:cs="Arial"/>
                <w:b/>
                <w:bCs/>
                <w:color w:val="000000" w:themeColor="text1"/>
              </w:rPr>
              <w:t>/2</w:t>
            </w:r>
            <w:r w:rsidR="00132872" w:rsidRPr="00132872">
              <w:rPr>
                <w:rFonts w:cs="Arial"/>
                <w:b/>
                <w:bCs/>
                <w:color w:val="000000" w:themeColor="text1"/>
              </w:rPr>
              <w:t>2</w:t>
            </w:r>
          </w:p>
        </w:tc>
        <w:tc>
          <w:tcPr>
            <w:tcW w:w="1418" w:type="dxa"/>
            <w:vAlign w:val="center"/>
          </w:tcPr>
          <w:p w14:paraId="4D203F70" w14:textId="77777777" w:rsidR="00952FBA" w:rsidRPr="00132872" w:rsidRDefault="00EB50A5" w:rsidP="00952FBA">
            <w:pPr>
              <w:jc w:val="right"/>
              <w:rPr>
                <w:rFonts w:cs="Arial"/>
                <w:b/>
                <w:bCs/>
                <w:color w:val="000000" w:themeColor="text1"/>
              </w:rPr>
            </w:pPr>
            <w:r w:rsidRPr="00132872">
              <w:rPr>
                <w:rFonts w:cs="Arial"/>
                <w:b/>
                <w:bCs/>
                <w:color w:val="000000" w:themeColor="text1"/>
              </w:rPr>
              <w:t>Q1</w:t>
            </w:r>
            <w:r w:rsidR="00952FBA" w:rsidRPr="00132872">
              <w:rPr>
                <w:rFonts w:cs="Arial"/>
                <w:b/>
                <w:bCs/>
                <w:color w:val="000000" w:themeColor="text1"/>
              </w:rPr>
              <w:t xml:space="preserve"> </w:t>
            </w:r>
          </w:p>
          <w:p w14:paraId="692E836D" w14:textId="77777777" w:rsidR="00952FBA" w:rsidRPr="00132872" w:rsidRDefault="00EB50A5" w:rsidP="00132872">
            <w:pPr>
              <w:pStyle w:val="ListParagraph"/>
              <w:numPr>
                <w:ilvl w:val="0"/>
                <w:numId w:val="0"/>
              </w:numPr>
              <w:jc w:val="right"/>
              <w:rPr>
                <w:b/>
                <w:color w:val="000000" w:themeColor="text1"/>
              </w:rPr>
            </w:pPr>
            <w:r w:rsidRPr="00132872">
              <w:rPr>
                <w:rFonts w:cs="Arial"/>
                <w:b/>
                <w:bCs/>
                <w:color w:val="000000" w:themeColor="text1"/>
              </w:rPr>
              <w:t>202</w:t>
            </w:r>
            <w:r w:rsidR="00132872" w:rsidRPr="00132872">
              <w:rPr>
                <w:rFonts w:cs="Arial"/>
                <w:b/>
                <w:bCs/>
                <w:color w:val="000000" w:themeColor="text1"/>
              </w:rPr>
              <w:t>2</w:t>
            </w:r>
            <w:r w:rsidR="00952FBA" w:rsidRPr="00132872">
              <w:rPr>
                <w:rFonts w:cs="Arial"/>
                <w:b/>
                <w:bCs/>
                <w:color w:val="000000" w:themeColor="text1"/>
              </w:rPr>
              <w:t>/2</w:t>
            </w:r>
            <w:r w:rsidR="00132872" w:rsidRPr="00132872">
              <w:rPr>
                <w:rFonts w:cs="Arial"/>
                <w:b/>
                <w:bCs/>
                <w:color w:val="000000" w:themeColor="text1"/>
              </w:rPr>
              <w:t>3</w:t>
            </w:r>
          </w:p>
        </w:tc>
      </w:tr>
      <w:tr w:rsidR="001E0FBA" w:rsidRPr="00132872" w14:paraId="02BEE0A3" w14:textId="77777777" w:rsidTr="00BC254C">
        <w:tc>
          <w:tcPr>
            <w:tcW w:w="1774" w:type="dxa"/>
          </w:tcPr>
          <w:p w14:paraId="76F579EE" w14:textId="77777777" w:rsidR="00BC254C" w:rsidRPr="00132872" w:rsidRDefault="00BC254C" w:rsidP="00BC254C">
            <w:pPr>
              <w:pStyle w:val="ListParagraph"/>
              <w:numPr>
                <w:ilvl w:val="0"/>
                <w:numId w:val="0"/>
              </w:numPr>
              <w:rPr>
                <w:color w:val="000000" w:themeColor="text1"/>
              </w:rPr>
            </w:pPr>
            <w:r w:rsidRPr="00132872">
              <w:rPr>
                <w:color w:val="000000" w:themeColor="text1"/>
              </w:rPr>
              <w:t>Red</w:t>
            </w:r>
          </w:p>
        </w:tc>
        <w:tc>
          <w:tcPr>
            <w:tcW w:w="1197" w:type="dxa"/>
          </w:tcPr>
          <w:p w14:paraId="4253898F" w14:textId="77777777" w:rsidR="00BC254C" w:rsidRPr="00132872" w:rsidRDefault="00952FBA" w:rsidP="00BC254C">
            <w:pPr>
              <w:pStyle w:val="ListParagraph"/>
              <w:numPr>
                <w:ilvl w:val="0"/>
                <w:numId w:val="0"/>
              </w:numPr>
              <w:jc w:val="right"/>
              <w:rPr>
                <w:color w:val="000000" w:themeColor="text1"/>
              </w:rPr>
            </w:pPr>
            <w:r w:rsidRPr="00132872">
              <w:rPr>
                <w:color w:val="000000" w:themeColor="text1"/>
              </w:rPr>
              <w:t>3</w:t>
            </w:r>
          </w:p>
        </w:tc>
        <w:tc>
          <w:tcPr>
            <w:tcW w:w="1134" w:type="dxa"/>
          </w:tcPr>
          <w:p w14:paraId="19D11495" w14:textId="77777777" w:rsidR="00BC254C" w:rsidRPr="00132872" w:rsidRDefault="00EB50A5" w:rsidP="00BC254C">
            <w:pPr>
              <w:pStyle w:val="ListParagraph"/>
              <w:numPr>
                <w:ilvl w:val="0"/>
                <w:numId w:val="0"/>
              </w:numPr>
              <w:jc w:val="right"/>
              <w:rPr>
                <w:color w:val="000000" w:themeColor="text1"/>
              </w:rPr>
            </w:pPr>
            <w:r w:rsidRPr="00132872">
              <w:rPr>
                <w:color w:val="000000" w:themeColor="text1"/>
              </w:rPr>
              <w:t>3</w:t>
            </w:r>
          </w:p>
        </w:tc>
        <w:tc>
          <w:tcPr>
            <w:tcW w:w="1276" w:type="dxa"/>
          </w:tcPr>
          <w:p w14:paraId="050F659C" w14:textId="77777777" w:rsidR="00BC254C" w:rsidRPr="00132872" w:rsidRDefault="00EB50A5" w:rsidP="00BC254C">
            <w:pPr>
              <w:pStyle w:val="ListParagraph"/>
              <w:numPr>
                <w:ilvl w:val="0"/>
                <w:numId w:val="0"/>
              </w:numPr>
              <w:jc w:val="right"/>
              <w:rPr>
                <w:color w:val="000000" w:themeColor="text1"/>
              </w:rPr>
            </w:pPr>
            <w:r w:rsidRPr="00132872">
              <w:rPr>
                <w:color w:val="000000" w:themeColor="text1"/>
              </w:rPr>
              <w:t>3</w:t>
            </w:r>
          </w:p>
        </w:tc>
        <w:tc>
          <w:tcPr>
            <w:tcW w:w="1418" w:type="dxa"/>
          </w:tcPr>
          <w:p w14:paraId="3AB9BE1B" w14:textId="77777777" w:rsidR="00BC254C" w:rsidRPr="00132872" w:rsidRDefault="00132872" w:rsidP="00BC254C">
            <w:pPr>
              <w:pStyle w:val="ListParagraph"/>
              <w:numPr>
                <w:ilvl w:val="0"/>
                <w:numId w:val="0"/>
              </w:numPr>
              <w:jc w:val="right"/>
              <w:rPr>
                <w:color w:val="000000" w:themeColor="text1"/>
              </w:rPr>
            </w:pPr>
            <w:r w:rsidRPr="00132872">
              <w:rPr>
                <w:color w:val="000000" w:themeColor="text1"/>
              </w:rPr>
              <w:t>5</w:t>
            </w:r>
          </w:p>
        </w:tc>
      </w:tr>
      <w:tr w:rsidR="001E0FBA" w:rsidRPr="00132872" w14:paraId="10131335" w14:textId="77777777" w:rsidTr="00BC254C">
        <w:tc>
          <w:tcPr>
            <w:tcW w:w="1774" w:type="dxa"/>
          </w:tcPr>
          <w:p w14:paraId="6FBC83FC" w14:textId="77777777" w:rsidR="00BC254C" w:rsidRPr="00132872" w:rsidRDefault="00BC254C" w:rsidP="00BC254C">
            <w:pPr>
              <w:pStyle w:val="ListParagraph"/>
              <w:numPr>
                <w:ilvl w:val="0"/>
                <w:numId w:val="0"/>
              </w:numPr>
              <w:rPr>
                <w:color w:val="000000" w:themeColor="text1"/>
              </w:rPr>
            </w:pPr>
            <w:r w:rsidRPr="00132872">
              <w:rPr>
                <w:color w:val="000000" w:themeColor="text1"/>
              </w:rPr>
              <w:t>Amber</w:t>
            </w:r>
          </w:p>
        </w:tc>
        <w:tc>
          <w:tcPr>
            <w:tcW w:w="1197" w:type="dxa"/>
          </w:tcPr>
          <w:p w14:paraId="2E205249" w14:textId="77777777" w:rsidR="00BC254C" w:rsidRPr="00132872" w:rsidRDefault="00132872" w:rsidP="00BC254C">
            <w:pPr>
              <w:pStyle w:val="ListParagraph"/>
              <w:numPr>
                <w:ilvl w:val="0"/>
                <w:numId w:val="0"/>
              </w:numPr>
              <w:jc w:val="right"/>
              <w:rPr>
                <w:color w:val="000000" w:themeColor="text1"/>
              </w:rPr>
            </w:pPr>
            <w:r w:rsidRPr="00132872">
              <w:rPr>
                <w:color w:val="000000" w:themeColor="text1"/>
              </w:rPr>
              <w:t>10</w:t>
            </w:r>
          </w:p>
        </w:tc>
        <w:tc>
          <w:tcPr>
            <w:tcW w:w="1134" w:type="dxa"/>
          </w:tcPr>
          <w:p w14:paraId="29018F1E" w14:textId="77777777" w:rsidR="00BC254C" w:rsidRPr="00132872" w:rsidRDefault="00132872" w:rsidP="00BC254C">
            <w:pPr>
              <w:pStyle w:val="ListParagraph"/>
              <w:numPr>
                <w:ilvl w:val="0"/>
                <w:numId w:val="0"/>
              </w:numPr>
              <w:jc w:val="right"/>
              <w:rPr>
                <w:color w:val="000000" w:themeColor="text1"/>
              </w:rPr>
            </w:pPr>
            <w:r w:rsidRPr="00132872">
              <w:rPr>
                <w:color w:val="000000" w:themeColor="text1"/>
              </w:rPr>
              <w:t>11</w:t>
            </w:r>
          </w:p>
        </w:tc>
        <w:tc>
          <w:tcPr>
            <w:tcW w:w="1276" w:type="dxa"/>
          </w:tcPr>
          <w:p w14:paraId="3BDC2826" w14:textId="77777777" w:rsidR="00BC254C" w:rsidRPr="00132872" w:rsidRDefault="00132872" w:rsidP="00132872">
            <w:pPr>
              <w:pStyle w:val="ListParagraph"/>
              <w:numPr>
                <w:ilvl w:val="0"/>
                <w:numId w:val="0"/>
              </w:numPr>
              <w:rPr>
                <w:color w:val="000000" w:themeColor="text1"/>
              </w:rPr>
            </w:pPr>
            <w:r w:rsidRPr="00132872">
              <w:rPr>
                <w:color w:val="000000" w:themeColor="text1"/>
              </w:rPr>
              <w:t xml:space="preserve">           11</w:t>
            </w:r>
          </w:p>
        </w:tc>
        <w:tc>
          <w:tcPr>
            <w:tcW w:w="1418" w:type="dxa"/>
          </w:tcPr>
          <w:p w14:paraId="07FD00C4" w14:textId="77777777" w:rsidR="00BC254C" w:rsidRPr="00132872" w:rsidRDefault="00132872" w:rsidP="00BC254C">
            <w:pPr>
              <w:pStyle w:val="ListParagraph"/>
              <w:numPr>
                <w:ilvl w:val="0"/>
                <w:numId w:val="0"/>
              </w:numPr>
              <w:jc w:val="right"/>
              <w:rPr>
                <w:color w:val="000000" w:themeColor="text1"/>
              </w:rPr>
            </w:pPr>
            <w:r w:rsidRPr="00132872">
              <w:rPr>
                <w:color w:val="000000" w:themeColor="text1"/>
              </w:rPr>
              <w:t>9</w:t>
            </w:r>
          </w:p>
        </w:tc>
      </w:tr>
      <w:tr w:rsidR="001E0FBA" w:rsidRPr="00132872" w14:paraId="76D47C51" w14:textId="77777777" w:rsidTr="00BC254C">
        <w:tc>
          <w:tcPr>
            <w:tcW w:w="1774" w:type="dxa"/>
          </w:tcPr>
          <w:p w14:paraId="46D48DFA" w14:textId="77777777" w:rsidR="00BC254C" w:rsidRPr="00132872" w:rsidRDefault="00BC254C" w:rsidP="00BC254C">
            <w:pPr>
              <w:pStyle w:val="ListParagraph"/>
              <w:numPr>
                <w:ilvl w:val="0"/>
                <w:numId w:val="0"/>
              </w:numPr>
              <w:rPr>
                <w:color w:val="000000" w:themeColor="text1"/>
              </w:rPr>
            </w:pPr>
            <w:r w:rsidRPr="00132872">
              <w:rPr>
                <w:color w:val="000000" w:themeColor="text1"/>
              </w:rPr>
              <w:t>Green</w:t>
            </w:r>
          </w:p>
        </w:tc>
        <w:tc>
          <w:tcPr>
            <w:tcW w:w="1197" w:type="dxa"/>
          </w:tcPr>
          <w:p w14:paraId="635792B9" w14:textId="77777777" w:rsidR="00BC254C" w:rsidRPr="00132872" w:rsidRDefault="00952FBA" w:rsidP="00BC254C">
            <w:pPr>
              <w:pStyle w:val="ListParagraph"/>
              <w:numPr>
                <w:ilvl w:val="0"/>
                <w:numId w:val="0"/>
              </w:numPr>
              <w:jc w:val="right"/>
              <w:rPr>
                <w:color w:val="000000" w:themeColor="text1"/>
              </w:rPr>
            </w:pPr>
            <w:r w:rsidRPr="00132872">
              <w:rPr>
                <w:color w:val="000000" w:themeColor="text1"/>
              </w:rPr>
              <w:t>1</w:t>
            </w:r>
          </w:p>
        </w:tc>
        <w:tc>
          <w:tcPr>
            <w:tcW w:w="1134" w:type="dxa"/>
          </w:tcPr>
          <w:p w14:paraId="31A4BA6B" w14:textId="77777777" w:rsidR="00BC254C" w:rsidRPr="00132872" w:rsidRDefault="00EB50A5" w:rsidP="00BC254C">
            <w:pPr>
              <w:pStyle w:val="ListParagraph"/>
              <w:numPr>
                <w:ilvl w:val="0"/>
                <w:numId w:val="0"/>
              </w:numPr>
              <w:jc w:val="right"/>
              <w:rPr>
                <w:color w:val="000000" w:themeColor="text1"/>
              </w:rPr>
            </w:pPr>
            <w:r w:rsidRPr="00132872">
              <w:rPr>
                <w:color w:val="000000" w:themeColor="text1"/>
              </w:rPr>
              <w:t>0</w:t>
            </w:r>
          </w:p>
        </w:tc>
        <w:tc>
          <w:tcPr>
            <w:tcW w:w="1276" w:type="dxa"/>
          </w:tcPr>
          <w:p w14:paraId="17907457" w14:textId="77777777" w:rsidR="00BC254C" w:rsidRPr="00132872" w:rsidRDefault="00EB50A5" w:rsidP="00EB50A5">
            <w:pPr>
              <w:pStyle w:val="ListParagraph"/>
              <w:numPr>
                <w:ilvl w:val="0"/>
                <w:numId w:val="0"/>
              </w:numPr>
              <w:jc w:val="center"/>
              <w:rPr>
                <w:color w:val="000000" w:themeColor="text1"/>
              </w:rPr>
            </w:pPr>
            <w:r w:rsidRPr="00132872">
              <w:rPr>
                <w:color w:val="000000" w:themeColor="text1"/>
              </w:rPr>
              <w:t xml:space="preserve">           </w:t>
            </w:r>
            <w:r w:rsidR="00132872" w:rsidRPr="00132872">
              <w:rPr>
                <w:color w:val="000000" w:themeColor="text1"/>
              </w:rPr>
              <w:t>0</w:t>
            </w:r>
          </w:p>
        </w:tc>
        <w:tc>
          <w:tcPr>
            <w:tcW w:w="1418" w:type="dxa"/>
          </w:tcPr>
          <w:p w14:paraId="1BCBDC70" w14:textId="77777777" w:rsidR="00BC254C" w:rsidRPr="00132872" w:rsidRDefault="00132872" w:rsidP="00BC254C">
            <w:pPr>
              <w:pStyle w:val="ListParagraph"/>
              <w:numPr>
                <w:ilvl w:val="0"/>
                <w:numId w:val="0"/>
              </w:numPr>
              <w:jc w:val="right"/>
              <w:rPr>
                <w:color w:val="000000" w:themeColor="text1"/>
              </w:rPr>
            </w:pPr>
            <w:r w:rsidRPr="00132872">
              <w:rPr>
                <w:color w:val="000000" w:themeColor="text1"/>
              </w:rPr>
              <w:t>0</w:t>
            </w:r>
          </w:p>
        </w:tc>
      </w:tr>
      <w:tr w:rsidR="001E0FBA" w:rsidRPr="00132872" w14:paraId="4C741544" w14:textId="77777777" w:rsidTr="00BC254C">
        <w:tc>
          <w:tcPr>
            <w:tcW w:w="1774" w:type="dxa"/>
          </w:tcPr>
          <w:p w14:paraId="50B22224" w14:textId="77777777" w:rsidR="00BC254C" w:rsidRPr="00132872" w:rsidRDefault="00BC254C" w:rsidP="00BC254C">
            <w:pPr>
              <w:pStyle w:val="ListParagraph"/>
              <w:numPr>
                <w:ilvl w:val="0"/>
                <w:numId w:val="0"/>
              </w:numPr>
              <w:rPr>
                <w:b/>
                <w:color w:val="000000" w:themeColor="text1"/>
              </w:rPr>
            </w:pPr>
            <w:r w:rsidRPr="00132872">
              <w:rPr>
                <w:b/>
                <w:color w:val="000000" w:themeColor="text1"/>
              </w:rPr>
              <w:t>Total Risks</w:t>
            </w:r>
          </w:p>
        </w:tc>
        <w:tc>
          <w:tcPr>
            <w:tcW w:w="1197" w:type="dxa"/>
          </w:tcPr>
          <w:p w14:paraId="5CD49C83" w14:textId="77777777" w:rsidR="00BC254C" w:rsidRPr="00132872" w:rsidRDefault="00132872" w:rsidP="00BC254C">
            <w:pPr>
              <w:pStyle w:val="ListParagraph"/>
              <w:numPr>
                <w:ilvl w:val="0"/>
                <w:numId w:val="0"/>
              </w:numPr>
              <w:jc w:val="right"/>
              <w:rPr>
                <w:b/>
                <w:color w:val="000000" w:themeColor="text1"/>
              </w:rPr>
            </w:pPr>
            <w:r w:rsidRPr="00132872">
              <w:rPr>
                <w:b/>
                <w:color w:val="000000" w:themeColor="text1"/>
              </w:rPr>
              <w:t>14</w:t>
            </w:r>
          </w:p>
        </w:tc>
        <w:tc>
          <w:tcPr>
            <w:tcW w:w="1134" w:type="dxa"/>
          </w:tcPr>
          <w:p w14:paraId="63853AD5" w14:textId="77777777" w:rsidR="00BC254C" w:rsidRPr="00132872" w:rsidRDefault="00BC254C" w:rsidP="00132872">
            <w:pPr>
              <w:pStyle w:val="ListParagraph"/>
              <w:numPr>
                <w:ilvl w:val="0"/>
                <w:numId w:val="0"/>
              </w:numPr>
              <w:jc w:val="right"/>
              <w:rPr>
                <w:b/>
                <w:color w:val="000000" w:themeColor="text1"/>
              </w:rPr>
            </w:pPr>
            <w:r w:rsidRPr="00132872">
              <w:rPr>
                <w:b/>
                <w:color w:val="000000" w:themeColor="text1"/>
              </w:rPr>
              <w:t>1</w:t>
            </w:r>
            <w:r w:rsidR="00132872" w:rsidRPr="00132872">
              <w:rPr>
                <w:b/>
                <w:color w:val="000000" w:themeColor="text1"/>
              </w:rPr>
              <w:t>4</w:t>
            </w:r>
          </w:p>
        </w:tc>
        <w:tc>
          <w:tcPr>
            <w:tcW w:w="1276" w:type="dxa"/>
          </w:tcPr>
          <w:p w14:paraId="092EF724" w14:textId="77777777" w:rsidR="00BC254C" w:rsidRPr="00132872" w:rsidRDefault="00C506C5" w:rsidP="00132872">
            <w:pPr>
              <w:pStyle w:val="ListParagraph"/>
              <w:numPr>
                <w:ilvl w:val="0"/>
                <w:numId w:val="0"/>
              </w:numPr>
              <w:jc w:val="right"/>
              <w:rPr>
                <w:b/>
                <w:color w:val="000000" w:themeColor="text1"/>
              </w:rPr>
            </w:pPr>
            <w:r w:rsidRPr="00132872">
              <w:rPr>
                <w:b/>
                <w:color w:val="000000" w:themeColor="text1"/>
              </w:rPr>
              <w:t>1</w:t>
            </w:r>
            <w:r w:rsidR="00132872" w:rsidRPr="00132872">
              <w:rPr>
                <w:b/>
                <w:color w:val="000000" w:themeColor="text1"/>
              </w:rPr>
              <w:t>4</w:t>
            </w:r>
          </w:p>
        </w:tc>
        <w:tc>
          <w:tcPr>
            <w:tcW w:w="1418" w:type="dxa"/>
          </w:tcPr>
          <w:p w14:paraId="69CBD9EC" w14:textId="77777777" w:rsidR="00BC254C" w:rsidRPr="00132872" w:rsidRDefault="00BC254C" w:rsidP="0066395F">
            <w:pPr>
              <w:pStyle w:val="ListParagraph"/>
              <w:numPr>
                <w:ilvl w:val="0"/>
                <w:numId w:val="0"/>
              </w:numPr>
              <w:jc w:val="right"/>
              <w:rPr>
                <w:b/>
                <w:color w:val="000000" w:themeColor="text1"/>
              </w:rPr>
            </w:pPr>
            <w:r w:rsidRPr="00132872">
              <w:rPr>
                <w:b/>
                <w:color w:val="000000" w:themeColor="text1"/>
              </w:rPr>
              <w:t>1</w:t>
            </w:r>
            <w:r w:rsidR="00132872" w:rsidRPr="00132872">
              <w:rPr>
                <w:b/>
                <w:color w:val="000000" w:themeColor="text1"/>
              </w:rPr>
              <w:t>4</w:t>
            </w:r>
          </w:p>
        </w:tc>
      </w:tr>
    </w:tbl>
    <w:p w14:paraId="1C60A613" w14:textId="77777777" w:rsidR="00802422" w:rsidRPr="00132872" w:rsidRDefault="00BC254C" w:rsidP="00BC73EE">
      <w:pPr>
        <w:pStyle w:val="ListParagraph"/>
        <w:numPr>
          <w:ilvl w:val="0"/>
          <w:numId w:val="0"/>
        </w:numPr>
        <w:ind w:left="426"/>
        <w:rPr>
          <w:color w:val="000000" w:themeColor="text1"/>
        </w:rPr>
      </w:pPr>
      <w:r w:rsidRPr="00132872">
        <w:rPr>
          <w:color w:val="000000" w:themeColor="text1"/>
        </w:rPr>
        <w:t xml:space="preserve"> </w:t>
      </w:r>
    </w:p>
    <w:p w14:paraId="42CFEE9C" w14:textId="77777777" w:rsidR="006D583C" w:rsidRPr="00F1710F" w:rsidRDefault="006D583C" w:rsidP="006D583C">
      <w:pPr>
        <w:rPr>
          <w:b/>
          <w:color w:val="000000" w:themeColor="text1"/>
        </w:rPr>
      </w:pPr>
      <w:r w:rsidRPr="00F1710F">
        <w:rPr>
          <w:b/>
          <w:color w:val="000000" w:themeColor="text1"/>
        </w:rPr>
        <w:t>Performance Indicators</w:t>
      </w:r>
    </w:p>
    <w:p w14:paraId="3E01A9FE" w14:textId="77777777" w:rsidR="006D583C" w:rsidRPr="00F1710F" w:rsidRDefault="00B834BD" w:rsidP="00476627">
      <w:pPr>
        <w:pStyle w:val="ListParagraph"/>
        <w:rPr>
          <w:color w:val="000000" w:themeColor="text1"/>
        </w:rPr>
      </w:pPr>
      <w:r w:rsidRPr="00F1710F">
        <w:rPr>
          <w:color w:val="000000" w:themeColor="text1"/>
        </w:rPr>
        <w:t xml:space="preserve">There </w:t>
      </w:r>
      <w:r w:rsidR="00000B65" w:rsidRPr="00F1710F">
        <w:rPr>
          <w:color w:val="000000" w:themeColor="text1"/>
        </w:rPr>
        <w:t>are three</w:t>
      </w:r>
      <w:r w:rsidRPr="00F1710F">
        <w:rPr>
          <w:color w:val="000000" w:themeColor="text1"/>
        </w:rPr>
        <w:t xml:space="preserve"> </w:t>
      </w:r>
      <w:r w:rsidR="006D583C" w:rsidRPr="00F1710F">
        <w:rPr>
          <w:color w:val="000000" w:themeColor="text1"/>
        </w:rPr>
        <w:t>red corporate performance indicators being reported at the end of quarter 1, these relate to:</w:t>
      </w:r>
    </w:p>
    <w:p w14:paraId="60E34E83" w14:textId="3B9DF889" w:rsidR="006D583C" w:rsidRPr="00F1710F" w:rsidRDefault="009A764E" w:rsidP="006D583C">
      <w:pPr>
        <w:pStyle w:val="ListParagraph"/>
        <w:numPr>
          <w:ilvl w:val="0"/>
          <w:numId w:val="47"/>
        </w:numPr>
        <w:rPr>
          <w:color w:val="000000" w:themeColor="text1"/>
        </w:rPr>
      </w:pPr>
      <w:r w:rsidRPr="00F1710F">
        <w:rPr>
          <w:color w:val="000000" w:themeColor="text1"/>
        </w:rPr>
        <w:t>% of Council spend with local businesses including SME’s – targ</w:t>
      </w:r>
      <w:r w:rsidR="005E11ED">
        <w:rPr>
          <w:color w:val="000000" w:themeColor="text1"/>
        </w:rPr>
        <w:t xml:space="preserve">et 45% with an actual of 38.97%.   </w:t>
      </w:r>
      <w:r w:rsidR="00035E6B">
        <w:rPr>
          <w:color w:val="000000" w:themeColor="text1"/>
        </w:rPr>
        <w:t>Statistics are being investigated to ensure that grants are excluded (since these distort spending statistics) and also ensure OX Place construction contracts are fully accounted for, and we will look at ways to step up local spend as part of the forthcoming review of the Procurement Strategy</w:t>
      </w:r>
      <w:r w:rsidR="00420257" w:rsidRPr="00F1710F">
        <w:rPr>
          <w:color w:val="000000" w:themeColor="text1"/>
        </w:rPr>
        <w:t>;</w:t>
      </w:r>
    </w:p>
    <w:p w14:paraId="0B47DE3F" w14:textId="3654695A" w:rsidR="009A764E" w:rsidRPr="00F1710F" w:rsidRDefault="009A764E" w:rsidP="006D583C">
      <w:pPr>
        <w:pStyle w:val="ListParagraph"/>
        <w:numPr>
          <w:ilvl w:val="0"/>
          <w:numId w:val="47"/>
        </w:numPr>
        <w:rPr>
          <w:color w:val="000000" w:themeColor="text1"/>
        </w:rPr>
      </w:pPr>
      <w:r w:rsidRPr="00F1710F">
        <w:rPr>
          <w:color w:val="000000" w:themeColor="text1"/>
        </w:rPr>
        <w:t>Number of rough sleepers without an offer of accommodation – target of 34 with an actual of 30 – there were 40 persons rough sleeping in the city at the end of June and 34 of those did not have an offer of accommodation.  We are working with all groups of rough sleepers to move them into supported accommodation.  Nationally there has been a rise in rough sleeping post-pandemic as pandemic measures and funding has been removed</w:t>
      </w:r>
      <w:r w:rsidR="00035E6B">
        <w:rPr>
          <w:color w:val="000000" w:themeColor="text1"/>
        </w:rPr>
        <w:t>;</w:t>
      </w:r>
    </w:p>
    <w:p w14:paraId="5F25C484" w14:textId="29A47216" w:rsidR="009A764E" w:rsidRPr="00F1710F" w:rsidRDefault="009A764E" w:rsidP="006D583C">
      <w:pPr>
        <w:pStyle w:val="ListParagraph"/>
        <w:numPr>
          <w:ilvl w:val="0"/>
          <w:numId w:val="47"/>
        </w:numPr>
        <w:rPr>
          <w:color w:val="000000" w:themeColor="text1"/>
        </w:rPr>
      </w:pPr>
      <w:r w:rsidRPr="00F1710F">
        <w:rPr>
          <w:color w:val="000000" w:themeColor="text1"/>
        </w:rPr>
        <w:t>Reduction of number of face to face visits – target of 10%</w:t>
      </w:r>
      <w:r w:rsidR="00F1710F" w:rsidRPr="00F1710F">
        <w:rPr>
          <w:color w:val="000000" w:themeColor="text1"/>
        </w:rPr>
        <w:t xml:space="preserve"> with an actual </w:t>
      </w:r>
      <w:r w:rsidR="005E11ED">
        <w:rPr>
          <w:color w:val="000000" w:themeColor="text1"/>
        </w:rPr>
        <w:t xml:space="preserve">increase </w:t>
      </w:r>
      <w:r w:rsidR="00F1710F" w:rsidRPr="00F1710F">
        <w:rPr>
          <w:color w:val="000000" w:themeColor="text1"/>
        </w:rPr>
        <w:t xml:space="preserve">of </w:t>
      </w:r>
      <w:r w:rsidR="005E11ED">
        <w:rPr>
          <w:color w:val="000000" w:themeColor="text1"/>
        </w:rPr>
        <w:t>32%</w:t>
      </w:r>
      <w:r w:rsidR="00F1710F" w:rsidRPr="00F1710F">
        <w:rPr>
          <w:color w:val="000000" w:themeColor="text1"/>
        </w:rPr>
        <w:t>.  Tracking 244 more visits y</w:t>
      </w:r>
      <w:r w:rsidR="00035E6B">
        <w:rPr>
          <w:color w:val="000000" w:themeColor="text1"/>
        </w:rPr>
        <w:t>ear to date this year than last;</w:t>
      </w:r>
    </w:p>
    <w:p w14:paraId="46F0ED8B" w14:textId="77777777" w:rsidR="006D583C" w:rsidRDefault="006D583C" w:rsidP="006D583C">
      <w:pPr>
        <w:pStyle w:val="Heading1"/>
        <w:rPr>
          <w:color w:val="auto"/>
        </w:rPr>
      </w:pPr>
      <w:r w:rsidRPr="00EB50A5">
        <w:rPr>
          <w:color w:val="auto"/>
        </w:rPr>
        <w:t>Financial implications</w:t>
      </w:r>
    </w:p>
    <w:p w14:paraId="23D5D56C" w14:textId="36C815EA" w:rsidR="004F260A" w:rsidRPr="00EE3D65" w:rsidRDefault="004F260A" w:rsidP="00476627">
      <w:pPr>
        <w:pStyle w:val="ListParagraph"/>
        <w:rPr>
          <w:color w:val="auto"/>
        </w:rPr>
      </w:pPr>
      <w:r w:rsidRPr="00EE3D65">
        <w:rPr>
          <w:color w:val="auto"/>
        </w:rPr>
        <w:t>All financial implications are covered in the body of this report and the Appendices</w:t>
      </w:r>
      <w:r w:rsidR="00AE303E">
        <w:rPr>
          <w:color w:val="auto"/>
        </w:rPr>
        <w:t>, as required by 8.14b of the Council’s constitution.</w:t>
      </w:r>
    </w:p>
    <w:p w14:paraId="5D696799" w14:textId="77777777" w:rsidR="0040736F" w:rsidRPr="00EE3D65" w:rsidRDefault="00DA614B" w:rsidP="004A6D2F">
      <w:pPr>
        <w:pStyle w:val="Heading1"/>
        <w:rPr>
          <w:color w:val="auto"/>
        </w:rPr>
      </w:pPr>
      <w:r w:rsidRPr="00EE3D65">
        <w:rPr>
          <w:color w:val="auto"/>
        </w:rPr>
        <w:t>Legal issues</w:t>
      </w:r>
    </w:p>
    <w:p w14:paraId="2FB850D8" w14:textId="77777777" w:rsidR="00E87F7A" w:rsidRPr="00EE3D65" w:rsidRDefault="00256350" w:rsidP="00476627">
      <w:pPr>
        <w:pStyle w:val="ListParagraph"/>
        <w:rPr>
          <w:color w:val="auto"/>
        </w:rPr>
      </w:pPr>
      <w:r w:rsidRPr="00EE3D65">
        <w:rPr>
          <w:color w:val="auto"/>
        </w:rPr>
        <w:t xml:space="preserve">There are no legal implications </w:t>
      </w:r>
      <w:r w:rsidR="00D04C25" w:rsidRPr="00EE3D65">
        <w:rPr>
          <w:color w:val="auto"/>
        </w:rPr>
        <w:t xml:space="preserve">arising </w:t>
      </w:r>
      <w:r w:rsidRPr="00EE3D65">
        <w:rPr>
          <w:color w:val="auto"/>
        </w:rPr>
        <w:t xml:space="preserve">directly </w:t>
      </w:r>
      <w:r w:rsidR="00D04C25" w:rsidRPr="00EE3D65">
        <w:rPr>
          <w:color w:val="auto"/>
        </w:rPr>
        <w:t>from</w:t>
      </w:r>
      <w:r w:rsidRPr="00EE3D65">
        <w:rPr>
          <w:color w:val="auto"/>
        </w:rPr>
        <w:t xml:space="preserve"> this report</w:t>
      </w:r>
      <w:r w:rsidR="00E87F7A" w:rsidRPr="00EE3D65">
        <w:rPr>
          <w:color w:val="auto"/>
        </w:rPr>
        <w:t>.</w:t>
      </w:r>
    </w:p>
    <w:p w14:paraId="4D023666" w14:textId="77777777" w:rsidR="002329CF" w:rsidRPr="00EE3D65" w:rsidRDefault="002329CF" w:rsidP="004A6D2F">
      <w:pPr>
        <w:pStyle w:val="Heading1"/>
        <w:rPr>
          <w:color w:val="auto"/>
        </w:rPr>
      </w:pPr>
      <w:r w:rsidRPr="00EE3D65">
        <w:rPr>
          <w:color w:val="auto"/>
        </w:rPr>
        <w:t>Level of risk</w:t>
      </w:r>
    </w:p>
    <w:p w14:paraId="68EDCF47" w14:textId="77777777" w:rsidR="00BC69A4" w:rsidRPr="00EE3D65" w:rsidRDefault="00256350" w:rsidP="00476627">
      <w:pPr>
        <w:pStyle w:val="ListParagraph"/>
        <w:rPr>
          <w:color w:val="auto"/>
        </w:rPr>
      </w:pPr>
      <w:r w:rsidRPr="00EE3D65">
        <w:rPr>
          <w:color w:val="auto"/>
        </w:rPr>
        <w:t>All risk implications are covered in the body of this report and the Appendices.</w:t>
      </w:r>
    </w:p>
    <w:p w14:paraId="309E1F19" w14:textId="77777777" w:rsidR="00F54F97" w:rsidRDefault="00F54F97" w:rsidP="0050321C">
      <w:pPr>
        <w:pStyle w:val="Heading1"/>
        <w:rPr>
          <w:color w:val="auto"/>
        </w:rPr>
      </w:pPr>
    </w:p>
    <w:p w14:paraId="0635CA09" w14:textId="77777777" w:rsidR="002329CF" w:rsidRPr="00EE3D65" w:rsidRDefault="002329CF" w:rsidP="0050321C">
      <w:pPr>
        <w:pStyle w:val="Heading1"/>
        <w:rPr>
          <w:color w:val="auto"/>
        </w:rPr>
      </w:pPr>
      <w:bookmarkStart w:id="0" w:name="_GoBack"/>
      <w:bookmarkEnd w:id="0"/>
      <w:r w:rsidRPr="00EE3D65">
        <w:rPr>
          <w:color w:val="auto"/>
        </w:rPr>
        <w:lastRenderedPageBreak/>
        <w:t xml:space="preserve">Equalities impact </w:t>
      </w:r>
    </w:p>
    <w:p w14:paraId="58947CAE" w14:textId="77777777" w:rsidR="00E206D6" w:rsidRPr="00EE3D65" w:rsidRDefault="00256350" w:rsidP="00476627">
      <w:pPr>
        <w:pStyle w:val="ListParagraph"/>
        <w:rPr>
          <w:color w:val="auto"/>
        </w:rPr>
      </w:pPr>
      <w:r w:rsidRPr="00EE3D65">
        <w:rPr>
          <w:color w:val="auto"/>
        </w:rPr>
        <w:t>There are no equalities impacts arising directly from this report.</w:t>
      </w:r>
    </w:p>
    <w:p w14:paraId="1E7D93B9" w14:textId="77777777" w:rsidR="00CF4B23" w:rsidRDefault="00CF4B23">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36"/>
        <w:gridCol w:w="5534"/>
      </w:tblGrid>
      <w:tr w:rsidR="00EB50A5" w:rsidRPr="00EB50A5" w14:paraId="3F3F1C2B" w14:textId="77777777" w:rsidTr="00CF4B23">
        <w:trPr>
          <w:cantSplit/>
          <w:trHeight w:val="396"/>
        </w:trPr>
        <w:tc>
          <w:tcPr>
            <w:tcW w:w="3636" w:type="dxa"/>
            <w:tcBorders>
              <w:top w:val="single" w:sz="8" w:space="0" w:color="000000"/>
              <w:left w:val="single" w:sz="8" w:space="0" w:color="000000"/>
              <w:bottom w:val="single" w:sz="8" w:space="0" w:color="000000"/>
              <w:right w:val="nil"/>
            </w:tcBorders>
            <w:shd w:val="clear" w:color="auto" w:fill="auto"/>
          </w:tcPr>
          <w:p w14:paraId="72CC7380" w14:textId="77777777" w:rsidR="00E87F7A" w:rsidRPr="00EB50A5" w:rsidRDefault="00E87F7A" w:rsidP="00A46E98">
            <w:pPr>
              <w:rPr>
                <w:b/>
                <w:color w:val="auto"/>
              </w:rPr>
            </w:pPr>
            <w:r w:rsidRPr="00EB50A5">
              <w:rPr>
                <w:b/>
                <w:color w:val="auto"/>
              </w:rPr>
              <w:t>Report author</w:t>
            </w:r>
          </w:p>
        </w:tc>
        <w:tc>
          <w:tcPr>
            <w:tcW w:w="5534" w:type="dxa"/>
            <w:tcBorders>
              <w:top w:val="single" w:sz="8" w:space="0" w:color="000000"/>
              <w:left w:val="nil"/>
              <w:bottom w:val="single" w:sz="8" w:space="0" w:color="000000"/>
              <w:right w:val="single" w:sz="8" w:space="0" w:color="000000"/>
            </w:tcBorders>
            <w:shd w:val="clear" w:color="auto" w:fill="auto"/>
          </w:tcPr>
          <w:p w14:paraId="2877E30C" w14:textId="77777777" w:rsidR="00E87F7A" w:rsidRPr="00EB50A5" w:rsidRDefault="00256350" w:rsidP="00A46E98">
            <w:pPr>
              <w:rPr>
                <w:color w:val="auto"/>
              </w:rPr>
            </w:pPr>
            <w:r w:rsidRPr="00EB50A5">
              <w:rPr>
                <w:color w:val="auto"/>
              </w:rPr>
              <w:t xml:space="preserve">Nigel Kennedy </w:t>
            </w:r>
          </w:p>
          <w:p w14:paraId="1A4E0C6B" w14:textId="77777777" w:rsidR="00256350" w:rsidRPr="00EB50A5" w:rsidRDefault="00256350" w:rsidP="00256350">
            <w:pPr>
              <w:rPr>
                <w:color w:val="auto"/>
              </w:rPr>
            </w:pPr>
            <w:r w:rsidRPr="00EB50A5">
              <w:rPr>
                <w:color w:val="auto"/>
              </w:rPr>
              <w:t>Helen Bishop</w:t>
            </w:r>
          </w:p>
        </w:tc>
      </w:tr>
      <w:tr w:rsidR="00EB50A5" w:rsidRPr="00EB50A5" w14:paraId="074DE641" w14:textId="77777777" w:rsidTr="00CF4B23">
        <w:trPr>
          <w:cantSplit/>
          <w:trHeight w:val="396"/>
        </w:trPr>
        <w:tc>
          <w:tcPr>
            <w:tcW w:w="3636" w:type="dxa"/>
            <w:tcBorders>
              <w:top w:val="single" w:sz="8" w:space="0" w:color="000000"/>
              <w:left w:val="single" w:sz="8" w:space="0" w:color="000000"/>
              <w:bottom w:val="nil"/>
              <w:right w:val="nil"/>
            </w:tcBorders>
            <w:shd w:val="clear" w:color="auto" w:fill="auto"/>
          </w:tcPr>
          <w:p w14:paraId="73287968" w14:textId="77777777" w:rsidR="00E87F7A" w:rsidRPr="00EB50A5" w:rsidRDefault="00E87F7A" w:rsidP="00A46E98">
            <w:pPr>
              <w:rPr>
                <w:color w:val="auto"/>
              </w:rPr>
            </w:pPr>
            <w:r w:rsidRPr="00EB50A5">
              <w:rPr>
                <w:color w:val="auto"/>
              </w:rPr>
              <w:t>Job title</w:t>
            </w:r>
          </w:p>
        </w:tc>
        <w:tc>
          <w:tcPr>
            <w:tcW w:w="5534" w:type="dxa"/>
            <w:tcBorders>
              <w:top w:val="single" w:sz="8" w:space="0" w:color="000000"/>
              <w:left w:val="nil"/>
              <w:bottom w:val="nil"/>
              <w:right w:val="single" w:sz="8" w:space="0" w:color="000000"/>
            </w:tcBorders>
            <w:shd w:val="clear" w:color="auto" w:fill="auto"/>
          </w:tcPr>
          <w:p w14:paraId="72C6782C" w14:textId="77777777" w:rsidR="00E87F7A" w:rsidRPr="00EB50A5" w:rsidRDefault="00256350" w:rsidP="00A46E98">
            <w:pPr>
              <w:rPr>
                <w:color w:val="auto"/>
              </w:rPr>
            </w:pPr>
            <w:r w:rsidRPr="00EB50A5">
              <w:rPr>
                <w:color w:val="auto"/>
              </w:rPr>
              <w:t>Head of Financial Services</w:t>
            </w:r>
          </w:p>
          <w:p w14:paraId="42FD37AE" w14:textId="77777777" w:rsidR="00256350" w:rsidRPr="00EB50A5" w:rsidRDefault="00256350" w:rsidP="00A46E98">
            <w:pPr>
              <w:rPr>
                <w:color w:val="auto"/>
              </w:rPr>
            </w:pPr>
            <w:r w:rsidRPr="00EB50A5">
              <w:rPr>
                <w:color w:val="auto"/>
              </w:rPr>
              <w:t>Head of Business Improvement</w:t>
            </w:r>
          </w:p>
        </w:tc>
      </w:tr>
      <w:tr w:rsidR="00EB50A5" w:rsidRPr="00EB50A5" w14:paraId="678C66FC" w14:textId="77777777" w:rsidTr="00CF4B23">
        <w:trPr>
          <w:cantSplit/>
          <w:trHeight w:val="396"/>
        </w:trPr>
        <w:tc>
          <w:tcPr>
            <w:tcW w:w="3636" w:type="dxa"/>
            <w:tcBorders>
              <w:top w:val="nil"/>
              <w:left w:val="single" w:sz="8" w:space="0" w:color="000000"/>
              <w:bottom w:val="nil"/>
              <w:right w:val="nil"/>
            </w:tcBorders>
            <w:shd w:val="clear" w:color="auto" w:fill="auto"/>
          </w:tcPr>
          <w:p w14:paraId="52870F7F" w14:textId="77777777" w:rsidR="00E87F7A" w:rsidRPr="00EB50A5" w:rsidRDefault="00E87F7A" w:rsidP="00A46E98">
            <w:pPr>
              <w:rPr>
                <w:color w:val="auto"/>
              </w:rPr>
            </w:pPr>
            <w:r w:rsidRPr="00EB50A5">
              <w:rPr>
                <w:color w:val="auto"/>
              </w:rPr>
              <w:t>Service area or department</w:t>
            </w:r>
          </w:p>
        </w:tc>
        <w:tc>
          <w:tcPr>
            <w:tcW w:w="5534" w:type="dxa"/>
            <w:tcBorders>
              <w:top w:val="nil"/>
              <w:left w:val="nil"/>
              <w:bottom w:val="nil"/>
              <w:right w:val="single" w:sz="8" w:space="0" w:color="000000"/>
            </w:tcBorders>
            <w:shd w:val="clear" w:color="auto" w:fill="auto"/>
          </w:tcPr>
          <w:p w14:paraId="226A6AB5" w14:textId="77777777" w:rsidR="00E87F7A" w:rsidRPr="00EB50A5" w:rsidRDefault="00256350" w:rsidP="00A46E98">
            <w:pPr>
              <w:rPr>
                <w:color w:val="auto"/>
              </w:rPr>
            </w:pPr>
            <w:r w:rsidRPr="00EB50A5">
              <w:rPr>
                <w:color w:val="auto"/>
              </w:rPr>
              <w:t>Financial Services/Business Improvement</w:t>
            </w:r>
          </w:p>
        </w:tc>
      </w:tr>
      <w:tr w:rsidR="00EB50A5" w:rsidRPr="00EB50A5" w14:paraId="0FC83DD0" w14:textId="77777777" w:rsidTr="00CF4B23">
        <w:trPr>
          <w:cantSplit/>
          <w:trHeight w:val="396"/>
        </w:trPr>
        <w:tc>
          <w:tcPr>
            <w:tcW w:w="3636" w:type="dxa"/>
            <w:tcBorders>
              <w:top w:val="nil"/>
              <w:left w:val="single" w:sz="8" w:space="0" w:color="000000"/>
              <w:bottom w:val="nil"/>
              <w:right w:val="nil"/>
            </w:tcBorders>
            <w:shd w:val="clear" w:color="auto" w:fill="auto"/>
          </w:tcPr>
          <w:p w14:paraId="1057CB75" w14:textId="77777777" w:rsidR="00E87F7A" w:rsidRPr="00EB50A5" w:rsidRDefault="00E87F7A" w:rsidP="00A46E98">
            <w:pPr>
              <w:rPr>
                <w:color w:val="auto"/>
              </w:rPr>
            </w:pPr>
            <w:r w:rsidRPr="00EB50A5">
              <w:rPr>
                <w:color w:val="auto"/>
              </w:rPr>
              <w:t xml:space="preserve">Telephone </w:t>
            </w:r>
          </w:p>
        </w:tc>
        <w:tc>
          <w:tcPr>
            <w:tcW w:w="5534" w:type="dxa"/>
            <w:tcBorders>
              <w:top w:val="nil"/>
              <w:left w:val="nil"/>
              <w:bottom w:val="nil"/>
              <w:right w:val="single" w:sz="8" w:space="0" w:color="000000"/>
            </w:tcBorders>
            <w:shd w:val="clear" w:color="auto" w:fill="auto"/>
          </w:tcPr>
          <w:p w14:paraId="13250F4A" w14:textId="77777777" w:rsidR="00E87F7A" w:rsidRPr="00EB50A5" w:rsidRDefault="00256350" w:rsidP="00256350">
            <w:pPr>
              <w:rPr>
                <w:color w:val="auto"/>
              </w:rPr>
            </w:pPr>
            <w:r w:rsidRPr="00EB50A5">
              <w:rPr>
                <w:color w:val="auto"/>
              </w:rPr>
              <w:t>01865 252708</w:t>
            </w:r>
            <w:r w:rsidR="00E87F7A" w:rsidRPr="00EB50A5">
              <w:rPr>
                <w:color w:val="auto"/>
              </w:rPr>
              <w:t xml:space="preserve">  </w:t>
            </w:r>
          </w:p>
        </w:tc>
      </w:tr>
      <w:tr w:rsidR="00534A13" w:rsidRPr="00EB50A5" w14:paraId="0BA42F9E" w14:textId="77777777" w:rsidTr="00CF4B23">
        <w:trPr>
          <w:cantSplit/>
          <w:trHeight w:val="396"/>
        </w:trPr>
        <w:tc>
          <w:tcPr>
            <w:tcW w:w="3636" w:type="dxa"/>
            <w:tcBorders>
              <w:top w:val="nil"/>
              <w:left w:val="single" w:sz="8" w:space="0" w:color="000000"/>
              <w:bottom w:val="single" w:sz="8" w:space="0" w:color="000000"/>
              <w:right w:val="nil"/>
            </w:tcBorders>
            <w:shd w:val="clear" w:color="auto" w:fill="auto"/>
          </w:tcPr>
          <w:p w14:paraId="0FF80352" w14:textId="77777777" w:rsidR="00E87F7A" w:rsidRPr="00EB50A5" w:rsidRDefault="00E87F7A" w:rsidP="00A46E98">
            <w:pPr>
              <w:rPr>
                <w:color w:val="auto"/>
              </w:rPr>
            </w:pPr>
            <w:r w:rsidRPr="00EB50A5">
              <w:rPr>
                <w:color w:val="auto"/>
              </w:rPr>
              <w:t xml:space="preserve">e-mail </w:t>
            </w:r>
          </w:p>
        </w:tc>
        <w:tc>
          <w:tcPr>
            <w:tcW w:w="5534" w:type="dxa"/>
            <w:tcBorders>
              <w:top w:val="nil"/>
              <w:left w:val="nil"/>
              <w:bottom w:val="single" w:sz="8" w:space="0" w:color="000000"/>
              <w:right w:val="single" w:sz="8" w:space="0" w:color="000000"/>
            </w:tcBorders>
            <w:shd w:val="clear" w:color="auto" w:fill="auto"/>
          </w:tcPr>
          <w:p w14:paraId="38A42174" w14:textId="77777777" w:rsidR="00E87F7A" w:rsidRPr="00EB50A5" w:rsidRDefault="00256350" w:rsidP="00A46E98">
            <w:pPr>
              <w:rPr>
                <w:rStyle w:val="Hyperlink"/>
                <w:color w:val="auto"/>
              </w:rPr>
            </w:pPr>
            <w:r w:rsidRPr="00EB50A5">
              <w:rPr>
                <w:rStyle w:val="Hyperlink"/>
                <w:color w:val="auto"/>
              </w:rPr>
              <w:t>nkennedy@oxford.gov.uk/hbishop@oxford.gov.uk</w:t>
            </w:r>
          </w:p>
        </w:tc>
      </w:tr>
    </w:tbl>
    <w:p w14:paraId="34C37706" w14:textId="77777777" w:rsidR="00433B96" w:rsidRPr="00EB50A5"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EB50A5" w:rsidRPr="00EB50A5" w14:paraId="7B844727"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49B9E49D" w14:textId="77777777" w:rsidR="0093067A" w:rsidRPr="00EB50A5" w:rsidRDefault="00182B81" w:rsidP="00F41AC1">
            <w:pPr>
              <w:rPr>
                <w:color w:val="auto"/>
              </w:rPr>
            </w:pPr>
            <w:r w:rsidRPr="00EB50A5">
              <w:rPr>
                <w:rStyle w:val="Firstpagetablebold"/>
                <w:color w:val="auto"/>
              </w:rPr>
              <w:t xml:space="preserve">Background Papers: </w:t>
            </w:r>
            <w:r w:rsidRPr="00EB50A5">
              <w:rPr>
                <w:rStyle w:val="Firstpagetablebold"/>
                <w:b w:val="0"/>
                <w:color w:val="auto"/>
              </w:rPr>
              <w:t>None</w:t>
            </w:r>
          </w:p>
        </w:tc>
      </w:tr>
    </w:tbl>
    <w:p w14:paraId="7C1B068B" w14:textId="77777777" w:rsidR="0054712D" w:rsidRPr="00EB50A5" w:rsidRDefault="0054712D" w:rsidP="0093067A">
      <w:pPr>
        <w:rPr>
          <w:color w:val="auto"/>
        </w:rPr>
      </w:pPr>
    </w:p>
    <w:p w14:paraId="0CAF08C8" w14:textId="77777777" w:rsidR="004456DD" w:rsidRPr="00EB50A5" w:rsidRDefault="004456DD" w:rsidP="0093067A">
      <w:pPr>
        <w:rPr>
          <w:color w:val="auto"/>
        </w:rPr>
      </w:pPr>
    </w:p>
    <w:p w14:paraId="31F08A8B" w14:textId="77777777" w:rsidR="00934E6B" w:rsidRPr="00EB50A5" w:rsidRDefault="00934E6B">
      <w:pPr>
        <w:rPr>
          <w:color w:val="auto"/>
        </w:rPr>
      </w:pPr>
    </w:p>
    <w:p w14:paraId="73FFBE93" w14:textId="77777777" w:rsidR="00BC73EE" w:rsidRPr="00EB50A5" w:rsidRDefault="00BC73EE">
      <w:pPr>
        <w:rPr>
          <w:color w:val="auto"/>
        </w:rPr>
      </w:pPr>
    </w:p>
    <w:sectPr w:rsidR="00BC73EE" w:rsidRPr="00EB50A5"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0A99" w14:textId="77777777" w:rsidR="00526B78" w:rsidRDefault="00526B78" w:rsidP="004A6D2F">
      <w:r>
        <w:separator/>
      </w:r>
    </w:p>
  </w:endnote>
  <w:endnote w:type="continuationSeparator" w:id="0">
    <w:p w14:paraId="46E5EAC4" w14:textId="77777777" w:rsidR="00526B78" w:rsidRDefault="00526B7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60EC" w14:textId="77777777" w:rsidR="00494A91" w:rsidRDefault="00494A91" w:rsidP="004A6D2F">
    <w:pPr>
      <w:pStyle w:val="Footer"/>
    </w:pPr>
    <w:r>
      <w:t>Do not use a footer or page numbers.</w:t>
    </w:r>
  </w:p>
  <w:p w14:paraId="09C50FC9" w14:textId="77777777" w:rsidR="00494A91" w:rsidRDefault="00494A91" w:rsidP="004A6D2F">
    <w:pPr>
      <w:pStyle w:val="Footer"/>
    </w:pPr>
  </w:p>
  <w:p w14:paraId="67FB4186" w14:textId="77777777" w:rsidR="00494A91" w:rsidRDefault="00494A9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8DE7" w14:textId="77777777" w:rsidR="00494A91" w:rsidRDefault="00494A9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F387" w14:textId="77777777" w:rsidR="00526B78" w:rsidRDefault="00526B78" w:rsidP="004A6D2F">
      <w:r>
        <w:separator/>
      </w:r>
    </w:p>
  </w:footnote>
  <w:footnote w:type="continuationSeparator" w:id="0">
    <w:p w14:paraId="72164087" w14:textId="77777777" w:rsidR="00526B78" w:rsidRDefault="00526B7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9F461" w14:textId="77777777" w:rsidR="00494A91" w:rsidRDefault="00494A91" w:rsidP="00D5547E">
    <w:pPr>
      <w:pStyle w:val="Header"/>
      <w:jc w:val="right"/>
    </w:pPr>
    <w:r w:rsidRPr="00612730">
      <w:rPr>
        <w:noProof/>
      </w:rPr>
      <w:drawing>
        <wp:inline distT="0" distB="0" distL="0" distR="0" wp14:anchorId="7B8C9519" wp14:editId="5B40E561">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E7055"/>
    <w:multiLevelType w:val="hybridMultilevel"/>
    <w:tmpl w:val="EEEA98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697DE3"/>
    <w:multiLevelType w:val="hybridMultilevel"/>
    <w:tmpl w:val="CCE3C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B9080"/>
    <w:multiLevelType w:val="hybridMultilevel"/>
    <w:tmpl w:val="93D2E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5" w15:restartNumberingAfterBreak="0">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7" w15:restartNumberingAfterBreak="0">
    <w:nsid w:val="0C166816"/>
    <w:multiLevelType w:val="hybridMultilevel"/>
    <w:tmpl w:val="CD968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25A3E"/>
    <w:multiLevelType w:val="hybridMultilevel"/>
    <w:tmpl w:val="F7E9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AB67"/>
    <w:multiLevelType w:val="hybridMultilevel"/>
    <w:tmpl w:val="F25B9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1FB2225"/>
    <w:multiLevelType w:val="multilevel"/>
    <w:tmpl w:val="53AC8644"/>
    <w:lvl w:ilvl="0">
      <w:start w:val="1"/>
      <w:numFmt w:val="bullet"/>
      <w:lvlText w:val=""/>
      <w:lvlJc w:val="left"/>
      <w:pPr>
        <w:ind w:left="1440" w:hanging="360"/>
      </w:pPr>
      <w:rPr>
        <w:rFonts w:ascii="Symbol" w:hAnsi="Symbol" w:hint="default"/>
        <w:color w:val="000000"/>
        <w:sz w:val="24"/>
      </w:rPr>
    </w:lvl>
    <w:lvl w:ilvl="1">
      <w:start w:val="1"/>
      <w:numFmt w:val="lowerLetter"/>
      <w:lvlText w:val="%2."/>
      <w:lvlJc w:val="left"/>
      <w:pPr>
        <w:ind w:left="1734" w:hanging="360"/>
      </w:pPr>
    </w:lvl>
    <w:lvl w:ilvl="2">
      <w:start w:val="1"/>
      <w:numFmt w:val="lowerRoman"/>
      <w:lvlText w:val="%3."/>
      <w:lvlJc w:val="right"/>
      <w:pPr>
        <w:ind w:left="2454" w:hanging="180"/>
      </w:pPr>
    </w:lvl>
    <w:lvl w:ilvl="3">
      <w:start w:val="1"/>
      <w:numFmt w:val="decimal"/>
      <w:lvlText w:val="%4."/>
      <w:lvlJc w:val="left"/>
      <w:pPr>
        <w:ind w:left="3174" w:hanging="360"/>
      </w:pPr>
    </w:lvl>
    <w:lvl w:ilvl="4">
      <w:start w:val="1"/>
      <w:numFmt w:val="lowerLetter"/>
      <w:lvlText w:val="%5."/>
      <w:lvlJc w:val="left"/>
      <w:pPr>
        <w:ind w:left="3894" w:hanging="360"/>
      </w:pPr>
    </w:lvl>
    <w:lvl w:ilvl="5">
      <w:start w:val="1"/>
      <w:numFmt w:val="lowerRoman"/>
      <w:lvlText w:val="%6."/>
      <w:lvlJc w:val="right"/>
      <w:pPr>
        <w:ind w:left="4614" w:hanging="180"/>
      </w:pPr>
    </w:lvl>
    <w:lvl w:ilvl="6">
      <w:start w:val="1"/>
      <w:numFmt w:val="decimal"/>
      <w:lvlText w:val="%7."/>
      <w:lvlJc w:val="left"/>
      <w:pPr>
        <w:ind w:left="5334" w:hanging="360"/>
      </w:pPr>
    </w:lvl>
    <w:lvl w:ilvl="7">
      <w:start w:val="1"/>
      <w:numFmt w:val="lowerLetter"/>
      <w:lvlText w:val="%8."/>
      <w:lvlJc w:val="left"/>
      <w:pPr>
        <w:ind w:left="6054" w:hanging="360"/>
      </w:pPr>
    </w:lvl>
    <w:lvl w:ilvl="8">
      <w:start w:val="1"/>
      <w:numFmt w:val="lowerRoman"/>
      <w:lvlText w:val="%9."/>
      <w:lvlJc w:val="right"/>
      <w:pPr>
        <w:ind w:left="6774" w:hanging="180"/>
      </w:pPr>
    </w:lvl>
  </w:abstractNum>
  <w:abstractNum w:abstractNumId="27" w15:restartNumberingAfterBreak="0">
    <w:nsid w:val="31FB22D9"/>
    <w:multiLevelType w:val="hybridMultilevel"/>
    <w:tmpl w:val="3D4C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8006B1"/>
    <w:multiLevelType w:val="hybridMultilevel"/>
    <w:tmpl w:val="D56AD94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9" w15:restartNumberingAfterBreak="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2" w15:restartNumberingAfterBreak="0">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3" w15:restartNumberingAfterBreak="0">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FDA0AF1"/>
    <w:multiLevelType w:val="hybridMultilevel"/>
    <w:tmpl w:val="EC14581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0" w15:restartNumberingAfterBreak="0">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6" w15:restartNumberingAfterBreak="0">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47" w15:restartNumberingAfterBreak="0">
    <w:nsid w:val="798365C6"/>
    <w:multiLevelType w:val="multilevel"/>
    <w:tmpl w:val="976C7C58"/>
    <w:lvl w:ilvl="0">
      <w:start w:val="1"/>
      <w:numFmt w:val="decimal"/>
      <w:pStyle w:val="ListParagraph"/>
      <w:lvlText w:val="%1."/>
      <w:lvlJc w:val="left"/>
      <w:pPr>
        <w:ind w:left="1353" w:hanging="360"/>
      </w:pPr>
      <w:rPr>
        <w:rFonts w:ascii="Arial" w:hAnsi="Arial" w:hint="default"/>
        <w:color w:val="000000"/>
        <w:sz w:val="24"/>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47"/>
  </w:num>
  <w:num w:numId="3">
    <w:abstractNumId w:val="21"/>
  </w:num>
  <w:num w:numId="4">
    <w:abstractNumId w:val="8"/>
  </w:num>
  <w:num w:numId="5">
    <w:abstractNumId w:val="43"/>
  </w:num>
  <w:num w:numId="6">
    <w:abstractNumId w:val="40"/>
  </w:num>
  <w:num w:numId="7">
    <w:abstractNumId w:val="39"/>
  </w:num>
  <w:num w:numId="8">
    <w:abstractNumId w:val="22"/>
  </w:num>
  <w:num w:numId="9">
    <w:abstractNumId w:val="37"/>
  </w:num>
  <w:num w:numId="10">
    <w:abstractNumId w:val="13"/>
  </w:num>
  <w:num w:numId="11">
    <w:abstractNumId w:val="5"/>
  </w:num>
  <w:num w:numId="12">
    <w:abstractNumId w:val="15"/>
  </w:num>
  <w:num w:numId="13">
    <w:abstractNumId w:val="11"/>
  </w:num>
  <w:num w:numId="14">
    <w:abstractNumId w:val="34"/>
  </w:num>
  <w:num w:numId="15">
    <w:abstractNumId w:val="6"/>
  </w:num>
  <w:num w:numId="16">
    <w:abstractNumId w:val="44"/>
  </w:num>
  <w:num w:numId="17">
    <w:abstractNumId w:val="18"/>
  </w:num>
  <w:num w:numId="18">
    <w:abstractNumId w:val="38"/>
  </w:num>
  <w:num w:numId="19">
    <w:abstractNumId w:val="46"/>
  </w:num>
  <w:num w:numId="20">
    <w:abstractNumId w:val="29"/>
  </w:num>
  <w:num w:numId="21">
    <w:abstractNumId w:val="30"/>
  </w:num>
  <w:num w:numId="22">
    <w:abstractNumId w:val="19"/>
  </w:num>
  <w:num w:numId="23">
    <w:abstractNumId w:val="24"/>
  </w:num>
  <w:num w:numId="24">
    <w:abstractNumId w:val="12"/>
  </w:num>
  <w:num w:numId="25">
    <w:abstractNumId w:val="41"/>
  </w:num>
  <w:num w:numId="26">
    <w:abstractNumId w:val="35"/>
  </w:num>
  <w:num w:numId="27">
    <w:abstractNumId w:val="3"/>
  </w:num>
  <w:num w:numId="28">
    <w:abstractNumId w:val="45"/>
  </w:num>
  <w:num w:numId="29">
    <w:abstractNumId w:val="16"/>
  </w:num>
  <w:num w:numId="30">
    <w:abstractNumId w:val="10"/>
  </w:num>
  <w:num w:numId="31">
    <w:abstractNumId w:val="42"/>
  </w:num>
  <w:num w:numId="32">
    <w:abstractNumId w:val="32"/>
  </w:num>
  <w:num w:numId="33">
    <w:abstractNumId w:val="31"/>
  </w:num>
  <w:num w:numId="34">
    <w:abstractNumId w:val="23"/>
  </w:num>
  <w:num w:numId="35">
    <w:abstractNumId w:val="33"/>
  </w:num>
  <w:num w:numId="36">
    <w:abstractNumId w:val="9"/>
  </w:num>
  <w:num w:numId="37">
    <w:abstractNumId w:val="4"/>
  </w:num>
  <w:num w:numId="38">
    <w:abstractNumId w:val="36"/>
  </w:num>
  <w:num w:numId="39">
    <w:abstractNumId w:val="14"/>
  </w:num>
  <w:num w:numId="40">
    <w:abstractNumId w:val="26"/>
  </w:num>
  <w:num w:numId="41">
    <w:abstractNumId w:val="17"/>
  </w:num>
  <w:num w:numId="42">
    <w:abstractNumId w:val="2"/>
  </w:num>
  <w:num w:numId="43">
    <w:abstractNumId w:val="20"/>
  </w:num>
  <w:num w:numId="44">
    <w:abstractNumId w:val="0"/>
  </w:num>
  <w:num w:numId="45">
    <w:abstractNumId w:val="25"/>
  </w:num>
  <w:num w:numId="46">
    <w:abstractNumId w:val="1"/>
  </w:num>
  <w:num w:numId="47">
    <w:abstractNumId w:val="28"/>
  </w:num>
  <w:num w:numId="48">
    <w:abstractNumId w:val="27"/>
  </w:num>
  <w:num w:numId="4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B65"/>
    <w:rsid w:val="00001544"/>
    <w:rsid w:val="00007E2F"/>
    <w:rsid w:val="00010358"/>
    <w:rsid w:val="00010C09"/>
    <w:rsid w:val="000117D4"/>
    <w:rsid w:val="000119EC"/>
    <w:rsid w:val="00011B7A"/>
    <w:rsid w:val="00021313"/>
    <w:rsid w:val="00021A50"/>
    <w:rsid w:val="00027A19"/>
    <w:rsid w:val="000314D7"/>
    <w:rsid w:val="00034DFA"/>
    <w:rsid w:val="00035E6B"/>
    <w:rsid w:val="00041D28"/>
    <w:rsid w:val="00044A94"/>
    <w:rsid w:val="00045CFD"/>
    <w:rsid w:val="00045F8B"/>
    <w:rsid w:val="00046505"/>
    <w:rsid w:val="00046D2B"/>
    <w:rsid w:val="00046D61"/>
    <w:rsid w:val="00047B56"/>
    <w:rsid w:val="00050DA8"/>
    <w:rsid w:val="00053295"/>
    <w:rsid w:val="00053D19"/>
    <w:rsid w:val="0005443F"/>
    <w:rsid w:val="0005594D"/>
    <w:rsid w:val="00056263"/>
    <w:rsid w:val="00056FA2"/>
    <w:rsid w:val="00057678"/>
    <w:rsid w:val="0006237D"/>
    <w:rsid w:val="0006399D"/>
    <w:rsid w:val="00064D8A"/>
    <w:rsid w:val="00064F82"/>
    <w:rsid w:val="00066510"/>
    <w:rsid w:val="00067108"/>
    <w:rsid w:val="00067F6F"/>
    <w:rsid w:val="00070E1A"/>
    <w:rsid w:val="00073508"/>
    <w:rsid w:val="000749E8"/>
    <w:rsid w:val="000753A8"/>
    <w:rsid w:val="00077523"/>
    <w:rsid w:val="000776FF"/>
    <w:rsid w:val="00082AD8"/>
    <w:rsid w:val="00082E42"/>
    <w:rsid w:val="00085B72"/>
    <w:rsid w:val="000861C5"/>
    <w:rsid w:val="00087BC5"/>
    <w:rsid w:val="000917F9"/>
    <w:rsid w:val="00092B20"/>
    <w:rsid w:val="00093353"/>
    <w:rsid w:val="00096070"/>
    <w:rsid w:val="000963D9"/>
    <w:rsid w:val="000A47AE"/>
    <w:rsid w:val="000B6C3C"/>
    <w:rsid w:val="000B76DA"/>
    <w:rsid w:val="000C089F"/>
    <w:rsid w:val="000C1A15"/>
    <w:rsid w:val="000C2A5B"/>
    <w:rsid w:val="000C3928"/>
    <w:rsid w:val="000C3D16"/>
    <w:rsid w:val="000C4C93"/>
    <w:rsid w:val="000C5E8E"/>
    <w:rsid w:val="000C5F5D"/>
    <w:rsid w:val="000C6280"/>
    <w:rsid w:val="000D4262"/>
    <w:rsid w:val="000D5378"/>
    <w:rsid w:val="000E0057"/>
    <w:rsid w:val="000E2B71"/>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24521"/>
    <w:rsid w:val="0012667E"/>
    <w:rsid w:val="00126F0D"/>
    <w:rsid w:val="0013140F"/>
    <w:rsid w:val="00132872"/>
    <w:rsid w:val="00132A6F"/>
    <w:rsid w:val="00133FCB"/>
    <w:rsid w:val="0013447C"/>
    <w:rsid w:val="001356F1"/>
    <w:rsid w:val="00135C15"/>
    <w:rsid w:val="00136994"/>
    <w:rsid w:val="00136EB8"/>
    <w:rsid w:val="00136FB7"/>
    <w:rsid w:val="0014128E"/>
    <w:rsid w:val="00151888"/>
    <w:rsid w:val="00151E78"/>
    <w:rsid w:val="00151EDF"/>
    <w:rsid w:val="001531B9"/>
    <w:rsid w:val="00155948"/>
    <w:rsid w:val="001623E0"/>
    <w:rsid w:val="00162B63"/>
    <w:rsid w:val="00162C5E"/>
    <w:rsid w:val="001639AD"/>
    <w:rsid w:val="00165502"/>
    <w:rsid w:val="00166033"/>
    <w:rsid w:val="00166E6A"/>
    <w:rsid w:val="0017015E"/>
    <w:rsid w:val="00170A2D"/>
    <w:rsid w:val="00175CC5"/>
    <w:rsid w:val="00177372"/>
    <w:rsid w:val="00177F27"/>
    <w:rsid w:val="001808BC"/>
    <w:rsid w:val="001826BE"/>
    <w:rsid w:val="00182B81"/>
    <w:rsid w:val="00185A05"/>
    <w:rsid w:val="0018619D"/>
    <w:rsid w:val="0018749F"/>
    <w:rsid w:val="00190014"/>
    <w:rsid w:val="001944A2"/>
    <w:rsid w:val="0019563E"/>
    <w:rsid w:val="00195CA7"/>
    <w:rsid w:val="001965CB"/>
    <w:rsid w:val="00197786"/>
    <w:rsid w:val="00197C34"/>
    <w:rsid w:val="001A011E"/>
    <w:rsid w:val="001A066A"/>
    <w:rsid w:val="001A13E6"/>
    <w:rsid w:val="001A382D"/>
    <w:rsid w:val="001A4B55"/>
    <w:rsid w:val="001A5731"/>
    <w:rsid w:val="001A60BF"/>
    <w:rsid w:val="001A6EE3"/>
    <w:rsid w:val="001A70AB"/>
    <w:rsid w:val="001A7F68"/>
    <w:rsid w:val="001B0AD1"/>
    <w:rsid w:val="001B2E71"/>
    <w:rsid w:val="001B36AE"/>
    <w:rsid w:val="001B42C3"/>
    <w:rsid w:val="001B5939"/>
    <w:rsid w:val="001C1532"/>
    <w:rsid w:val="001C21C2"/>
    <w:rsid w:val="001C391C"/>
    <w:rsid w:val="001C3F04"/>
    <w:rsid w:val="001C5D5E"/>
    <w:rsid w:val="001D1B96"/>
    <w:rsid w:val="001D3606"/>
    <w:rsid w:val="001D678D"/>
    <w:rsid w:val="001D6B95"/>
    <w:rsid w:val="001E03F8"/>
    <w:rsid w:val="001E0FBA"/>
    <w:rsid w:val="001E12C0"/>
    <w:rsid w:val="001E1678"/>
    <w:rsid w:val="001E3376"/>
    <w:rsid w:val="001E561E"/>
    <w:rsid w:val="001E7192"/>
    <w:rsid w:val="001F3375"/>
    <w:rsid w:val="002005E3"/>
    <w:rsid w:val="002018CC"/>
    <w:rsid w:val="002069B3"/>
    <w:rsid w:val="00206B28"/>
    <w:rsid w:val="00211440"/>
    <w:rsid w:val="00211865"/>
    <w:rsid w:val="00213244"/>
    <w:rsid w:val="0021355D"/>
    <w:rsid w:val="00213A89"/>
    <w:rsid w:val="002159FE"/>
    <w:rsid w:val="00215DC1"/>
    <w:rsid w:val="00216D87"/>
    <w:rsid w:val="00221C73"/>
    <w:rsid w:val="00224C93"/>
    <w:rsid w:val="002256CA"/>
    <w:rsid w:val="002329CF"/>
    <w:rsid w:val="00232F5B"/>
    <w:rsid w:val="002369C8"/>
    <w:rsid w:val="0023761C"/>
    <w:rsid w:val="00244FEC"/>
    <w:rsid w:val="00247C29"/>
    <w:rsid w:val="00251AD9"/>
    <w:rsid w:val="00251ED0"/>
    <w:rsid w:val="00252152"/>
    <w:rsid w:val="002559AF"/>
    <w:rsid w:val="00256350"/>
    <w:rsid w:val="00260467"/>
    <w:rsid w:val="00261C3B"/>
    <w:rsid w:val="00261D35"/>
    <w:rsid w:val="00263478"/>
    <w:rsid w:val="00263EA3"/>
    <w:rsid w:val="00265216"/>
    <w:rsid w:val="00265217"/>
    <w:rsid w:val="00265BB1"/>
    <w:rsid w:val="002665C2"/>
    <w:rsid w:val="002668C9"/>
    <w:rsid w:val="0028004E"/>
    <w:rsid w:val="00280FB8"/>
    <w:rsid w:val="00281FC5"/>
    <w:rsid w:val="00282E07"/>
    <w:rsid w:val="00284BA8"/>
    <w:rsid w:val="00284F85"/>
    <w:rsid w:val="00285D6F"/>
    <w:rsid w:val="002873F1"/>
    <w:rsid w:val="00287FB6"/>
    <w:rsid w:val="00290915"/>
    <w:rsid w:val="002925C6"/>
    <w:rsid w:val="00292C57"/>
    <w:rsid w:val="00294DDB"/>
    <w:rsid w:val="00296AD0"/>
    <w:rsid w:val="002A15EC"/>
    <w:rsid w:val="002A22E2"/>
    <w:rsid w:val="002A52D8"/>
    <w:rsid w:val="002A6922"/>
    <w:rsid w:val="002B0315"/>
    <w:rsid w:val="002B047B"/>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5120"/>
    <w:rsid w:val="002E6433"/>
    <w:rsid w:val="002E7AE3"/>
    <w:rsid w:val="002F41F2"/>
    <w:rsid w:val="002F5517"/>
    <w:rsid w:val="002F567B"/>
    <w:rsid w:val="00301BF3"/>
    <w:rsid w:val="0030208D"/>
    <w:rsid w:val="003025E1"/>
    <w:rsid w:val="00304AD6"/>
    <w:rsid w:val="003071F2"/>
    <w:rsid w:val="00307EE2"/>
    <w:rsid w:val="00313F90"/>
    <w:rsid w:val="00314274"/>
    <w:rsid w:val="00316628"/>
    <w:rsid w:val="003209BA"/>
    <w:rsid w:val="00323418"/>
    <w:rsid w:val="00324B36"/>
    <w:rsid w:val="00325E71"/>
    <w:rsid w:val="00326774"/>
    <w:rsid w:val="0033039D"/>
    <w:rsid w:val="00330A1E"/>
    <w:rsid w:val="003321B6"/>
    <w:rsid w:val="003357BF"/>
    <w:rsid w:val="00343A18"/>
    <w:rsid w:val="00360AA3"/>
    <w:rsid w:val="00360CE3"/>
    <w:rsid w:val="00362D48"/>
    <w:rsid w:val="00364FAD"/>
    <w:rsid w:val="0036738F"/>
    <w:rsid w:val="0036759C"/>
    <w:rsid w:val="003676C3"/>
    <w:rsid w:val="00367AE5"/>
    <w:rsid w:val="00367D71"/>
    <w:rsid w:val="003717C7"/>
    <w:rsid w:val="0037202D"/>
    <w:rsid w:val="003763B6"/>
    <w:rsid w:val="00376EE5"/>
    <w:rsid w:val="00376F9F"/>
    <w:rsid w:val="0038150A"/>
    <w:rsid w:val="00381C65"/>
    <w:rsid w:val="00390138"/>
    <w:rsid w:val="003940F3"/>
    <w:rsid w:val="00395475"/>
    <w:rsid w:val="00395F98"/>
    <w:rsid w:val="0039720B"/>
    <w:rsid w:val="003976F3"/>
    <w:rsid w:val="003A1AD0"/>
    <w:rsid w:val="003A1FE9"/>
    <w:rsid w:val="003A362C"/>
    <w:rsid w:val="003A3FE3"/>
    <w:rsid w:val="003A42F5"/>
    <w:rsid w:val="003A54BA"/>
    <w:rsid w:val="003A55C4"/>
    <w:rsid w:val="003A74EF"/>
    <w:rsid w:val="003B0A0D"/>
    <w:rsid w:val="003B4838"/>
    <w:rsid w:val="003B6E75"/>
    <w:rsid w:val="003B7DA1"/>
    <w:rsid w:val="003C00F3"/>
    <w:rsid w:val="003C0757"/>
    <w:rsid w:val="003C12FE"/>
    <w:rsid w:val="003C3080"/>
    <w:rsid w:val="003C4BFF"/>
    <w:rsid w:val="003C619C"/>
    <w:rsid w:val="003C6543"/>
    <w:rsid w:val="003C7DE4"/>
    <w:rsid w:val="003D0379"/>
    <w:rsid w:val="003D07DB"/>
    <w:rsid w:val="003D2503"/>
    <w:rsid w:val="003D2574"/>
    <w:rsid w:val="003D4C59"/>
    <w:rsid w:val="003D686A"/>
    <w:rsid w:val="003E0233"/>
    <w:rsid w:val="003E7349"/>
    <w:rsid w:val="003E75E2"/>
    <w:rsid w:val="003F3AEA"/>
    <w:rsid w:val="003F3B2B"/>
    <w:rsid w:val="003F4267"/>
    <w:rsid w:val="003F50F9"/>
    <w:rsid w:val="003F6F7C"/>
    <w:rsid w:val="003F7042"/>
    <w:rsid w:val="00401619"/>
    <w:rsid w:val="00404032"/>
    <w:rsid w:val="00406D7A"/>
    <w:rsid w:val="00406DD2"/>
    <w:rsid w:val="0040736F"/>
    <w:rsid w:val="00407BA5"/>
    <w:rsid w:val="00412C1F"/>
    <w:rsid w:val="00413512"/>
    <w:rsid w:val="0041397C"/>
    <w:rsid w:val="00420257"/>
    <w:rsid w:val="00420868"/>
    <w:rsid w:val="00421CB2"/>
    <w:rsid w:val="004261F7"/>
    <w:rsid w:val="004268B9"/>
    <w:rsid w:val="0042754C"/>
    <w:rsid w:val="004332E4"/>
    <w:rsid w:val="00433B96"/>
    <w:rsid w:val="00434790"/>
    <w:rsid w:val="004440F1"/>
    <w:rsid w:val="0044415D"/>
    <w:rsid w:val="004455BC"/>
    <w:rsid w:val="004456DD"/>
    <w:rsid w:val="00446085"/>
    <w:rsid w:val="00446CDF"/>
    <w:rsid w:val="00446E08"/>
    <w:rsid w:val="004521B7"/>
    <w:rsid w:val="00452FEE"/>
    <w:rsid w:val="00455A06"/>
    <w:rsid w:val="00455A6A"/>
    <w:rsid w:val="0045613A"/>
    <w:rsid w:val="00457CCE"/>
    <w:rsid w:val="00462AB5"/>
    <w:rsid w:val="0046414D"/>
    <w:rsid w:val="00465EAF"/>
    <w:rsid w:val="00470A86"/>
    <w:rsid w:val="004722D2"/>
    <w:rsid w:val="0047351F"/>
    <w:rsid w:val="004738C5"/>
    <w:rsid w:val="00474C2A"/>
    <w:rsid w:val="00476627"/>
    <w:rsid w:val="00476CDE"/>
    <w:rsid w:val="00481CC1"/>
    <w:rsid w:val="00491046"/>
    <w:rsid w:val="00491307"/>
    <w:rsid w:val="0049449D"/>
    <w:rsid w:val="004945B4"/>
    <w:rsid w:val="00494A91"/>
    <w:rsid w:val="004A2AC7"/>
    <w:rsid w:val="004A3EAE"/>
    <w:rsid w:val="004A6D2F"/>
    <w:rsid w:val="004B5708"/>
    <w:rsid w:val="004B644B"/>
    <w:rsid w:val="004B6807"/>
    <w:rsid w:val="004B6D7A"/>
    <w:rsid w:val="004C2887"/>
    <w:rsid w:val="004C44FE"/>
    <w:rsid w:val="004C6918"/>
    <w:rsid w:val="004D1B2B"/>
    <w:rsid w:val="004D2626"/>
    <w:rsid w:val="004D30FD"/>
    <w:rsid w:val="004D3A93"/>
    <w:rsid w:val="004D6E26"/>
    <w:rsid w:val="004D77D3"/>
    <w:rsid w:val="004E27A6"/>
    <w:rsid w:val="004E2959"/>
    <w:rsid w:val="004E7EEE"/>
    <w:rsid w:val="004F09E4"/>
    <w:rsid w:val="004F20EF"/>
    <w:rsid w:val="004F260A"/>
    <w:rsid w:val="004F652C"/>
    <w:rsid w:val="004F7AF1"/>
    <w:rsid w:val="0050321C"/>
    <w:rsid w:val="00507E3B"/>
    <w:rsid w:val="00515E8A"/>
    <w:rsid w:val="005223AA"/>
    <w:rsid w:val="00522F06"/>
    <w:rsid w:val="00523412"/>
    <w:rsid w:val="00523E35"/>
    <w:rsid w:val="0052595A"/>
    <w:rsid w:val="00526B78"/>
    <w:rsid w:val="005300D5"/>
    <w:rsid w:val="005305BD"/>
    <w:rsid w:val="0053376D"/>
    <w:rsid w:val="00534A13"/>
    <w:rsid w:val="005367B7"/>
    <w:rsid w:val="00536A53"/>
    <w:rsid w:val="00537BD6"/>
    <w:rsid w:val="005422B3"/>
    <w:rsid w:val="0054712D"/>
    <w:rsid w:val="00547EF6"/>
    <w:rsid w:val="0055120B"/>
    <w:rsid w:val="00554BDE"/>
    <w:rsid w:val="0055522B"/>
    <w:rsid w:val="005570B5"/>
    <w:rsid w:val="005571E3"/>
    <w:rsid w:val="005603CD"/>
    <w:rsid w:val="00566828"/>
    <w:rsid w:val="00567E18"/>
    <w:rsid w:val="00570380"/>
    <w:rsid w:val="0057081B"/>
    <w:rsid w:val="005719CC"/>
    <w:rsid w:val="00572110"/>
    <w:rsid w:val="00575961"/>
    <w:rsid w:val="00575F5F"/>
    <w:rsid w:val="005775C1"/>
    <w:rsid w:val="00581805"/>
    <w:rsid w:val="005818C8"/>
    <w:rsid w:val="0058330D"/>
    <w:rsid w:val="00585F76"/>
    <w:rsid w:val="005865ED"/>
    <w:rsid w:val="005A022D"/>
    <w:rsid w:val="005A34E4"/>
    <w:rsid w:val="005A679D"/>
    <w:rsid w:val="005A7896"/>
    <w:rsid w:val="005B020D"/>
    <w:rsid w:val="005B17F2"/>
    <w:rsid w:val="005B264D"/>
    <w:rsid w:val="005B5285"/>
    <w:rsid w:val="005B55EF"/>
    <w:rsid w:val="005B7FB0"/>
    <w:rsid w:val="005C007E"/>
    <w:rsid w:val="005C35A5"/>
    <w:rsid w:val="005C3FA3"/>
    <w:rsid w:val="005C577C"/>
    <w:rsid w:val="005C5E16"/>
    <w:rsid w:val="005C668C"/>
    <w:rsid w:val="005D0621"/>
    <w:rsid w:val="005D1E27"/>
    <w:rsid w:val="005D2444"/>
    <w:rsid w:val="005D2A3E"/>
    <w:rsid w:val="005D4972"/>
    <w:rsid w:val="005D5369"/>
    <w:rsid w:val="005D58A0"/>
    <w:rsid w:val="005D76D6"/>
    <w:rsid w:val="005E022E"/>
    <w:rsid w:val="005E0254"/>
    <w:rsid w:val="005E11ED"/>
    <w:rsid w:val="005E288E"/>
    <w:rsid w:val="005E5215"/>
    <w:rsid w:val="005E64CB"/>
    <w:rsid w:val="005F01A3"/>
    <w:rsid w:val="005F02D7"/>
    <w:rsid w:val="005F7F7E"/>
    <w:rsid w:val="00603608"/>
    <w:rsid w:val="00603A2F"/>
    <w:rsid w:val="00604162"/>
    <w:rsid w:val="00604A65"/>
    <w:rsid w:val="00604B4C"/>
    <w:rsid w:val="006066BA"/>
    <w:rsid w:val="006124CA"/>
    <w:rsid w:val="00614693"/>
    <w:rsid w:val="00614D6B"/>
    <w:rsid w:val="006151ED"/>
    <w:rsid w:val="00620EA0"/>
    <w:rsid w:val="00623C2F"/>
    <w:rsid w:val="00627083"/>
    <w:rsid w:val="00630C9F"/>
    <w:rsid w:val="00632588"/>
    <w:rsid w:val="00633578"/>
    <w:rsid w:val="00634D35"/>
    <w:rsid w:val="00636769"/>
    <w:rsid w:val="00636A00"/>
    <w:rsid w:val="00637068"/>
    <w:rsid w:val="00637A6A"/>
    <w:rsid w:val="00640B28"/>
    <w:rsid w:val="00642EFF"/>
    <w:rsid w:val="00643ECB"/>
    <w:rsid w:val="0064625F"/>
    <w:rsid w:val="00650642"/>
    <w:rsid w:val="00650811"/>
    <w:rsid w:val="006546AD"/>
    <w:rsid w:val="00657207"/>
    <w:rsid w:val="00661D3E"/>
    <w:rsid w:val="006633F1"/>
    <w:rsid w:val="0066395F"/>
    <w:rsid w:val="00666094"/>
    <w:rsid w:val="0067298D"/>
    <w:rsid w:val="00672B90"/>
    <w:rsid w:val="00686C24"/>
    <w:rsid w:val="00690479"/>
    <w:rsid w:val="00692627"/>
    <w:rsid w:val="006927FE"/>
    <w:rsid w:val="00694A16"/>
    <w:rsid w:val="0069664A"/>
    <w:rsid w:val="006969E7"/>
    <w:rsid w:val="0069773D"/>
    <w:rsid w:val="006977C1"/>
    <w:rsid w:val="00697F53"/>
    <w:rsid w:val="006A03DC"/>
    <w:rsid w:val="006A24EB"/>
    <w:rsid w:val="006A3643"/>
    <w:rsid w:val="006A3DC9"/>
    <w:rsid w:val="006B06A0"/>
    <w:rsid w:val="006B7532"/>
    <w:rsid w:val="006B77BE"/>
    <w:rsid w:val="006B79D4"/>
    <w:rsid w:val="006B7C26"/>
    <w:rsid w:val="006B7F04"/>
    <w:rsid w:val="006C1250"/>
    <w:rsid w:val="006C2A29"/>
    <w:rsid w:val="006C32F5"/>
    <w:rsid w:val="006C483B"/>
    <w:rsid w:val="006C577F"/>
    <w:rsid w:val="006C64CF"/>
    <w:rsid w:val="006C6AFD"/>
    <w:rsid w:val="006C745D"/>
    <w:rsid w:val="006C78E9"/>
    <w:rsid w:val="006D17B1"/>
    <w:rsid w:val="006D1FD7"/>
    <w:rsid w:val="006D4147"/>
    <w:rsid w:val="006D4339"/>
    <w:rsid w:val="006D4752"/>
    <w:rsid w:val="006D583C"/>
    <w:rsid w:val="006D708A"/>
    <w:rsid w:val="006E14C1"/>
    <w:rsid w:val="006E4B8F"/>
    <w:rsid w:val="006F0292"/>
    <w:rsid w:val="006F27FA"/>
    <w:rsid w:val="006F3AF6"/>
    <w:rsid w:val="006F416B"/>
    <w:rsid w:val="006F4D93"/>
    <w:rsid w:val="006F519B"/>
    <w:rsid w:val="006F7CC4"/>
    <w:rsid w:val="006F7FA7"/>
    <w:rsid w:val="0070575B"/>
    <w:rsid w:val="00712C94"/>
    <w:rsid w:val="00713675"/>
    <w:rsid w:val="00715823"/>
    <w:rsid w:val="0073065E"/>
    <w:rsid w:val="00732BDF"/>
    <w:rsid w:val="007333C3"/>
    <w:rsid w:val="00734425"/>
    <w:rsid w:val="00736614"/>
    <w:rsid w:val="00736955"/>
    <w:rsid w:val="00737B93"/>
    <w:rsid w:val="007415CA"/>
    <w:rsid w:val="00744A70"/>
    <w:rsid w:val="00745BF0"/>
    <w:rsid w:val="00752960"/>
    <w:rsid w:val="00752ADC"/>
    <w:rsid w:val="0075664A"/>
    <w:rsid w:val="007615FE"/>
    <w:rsid w:val="0076287E"/>
    <w:rsid w:val="00762B40"/>
    <w:rsid w:val="0076348D"/>
    <w:rsid w:val="0076655C"/>
    <w:rsid w:val="00770551"/>
    <w:rsid w:val="007714C1"/>
    <w:rsid w:val="00773000"/>
    <w:rsid w:val="007742DC"/>
    <w:rsid w:val="00775283"/>
    <w:rsid w:val="007766F3"/>
    <w:rsid w:val="00780CF7"/>
    <w:rsid w:val="007839B9"/>
    <w:rsid w:val="00784884"/>
    <w:rsid w:val="00785148"/>
    <w:rsid w:val="007907D7"/>
    <w:rsid w:val="00791437"/>
    <w:rsid w:val="0079321F"/>
    <w:rsid w:val="00797AC9"/>
    <w:rsid w:val="007A3813"/>
    <w:rsid w:val="007B0C2C"/>
    <w:rsid w:val="007B12FE"/>
    <w:rsid w:val="007B278E"/>
    <w:rsid w:val="007B2B0E"/>
    <w:rsid w:val="007B3359"/>
    <w:rsid w:val="007B4795"/>
    <w:rsid w:val="007C023C"/>
    <w:rsid w:val="007C282E"/>
    <w:rsid w:val="007C3CF1"/>
    <w:rsid w:val="007C42D2"/>
    <w:rsid w:val="007C5C23"/>
    <w:rsid w:val="007C6F8A"/>
    <w:rsid w:val="007D0E21"/>
    <w:rsid w:val="007D1829"/>
    <w:rsid w:val="007D6B84"/>
    <w:rsid w:val="007E0F4C"/>
    <w:rsid w:val="007E205B"/>
    <w:rsid w:val="007E28E1"/>
    <w:rsid w:val="007E2A26"/>
    <w:rsid w:val="007E3D31"/>
    <w:rsid w:val="007E48D6"/>
    <w:rsid w:val="007E64F0"/>
    <w:rsid w:val="007E75B1"/>
    <w:rsid w:val="007F0269"/>
    <w:rsid w:val="007F0928"/>
    <w:rsid w:val="007F0A26"/>
    <w:rsid w:val="007F1C7F"/>
    <w:rsid w:val="007F2348"/>
    <w:rsid w:val="007F6499"/>
    <w:rsid w:val="0080190A"/>
    <w:rsid w:val="00801D11"/>
    <w:rsid w:val="00802422"/>
    <w:rsid w:val="00803F07"/>
    <w:rsid w:val="00803F1A"/>
    <w:rsid w:val="008050A5"/>
    <w:rsid w:val="008062C7"/>
    <w:rsid w:val="0080749A"/>
    <w:rsid w:val="008074F3"/>
    <w:rsid w:val="008077F8"/>
    <w:rsid w:val="008143FE"/>
    <w:rsid w:val="00817482"/>
    <w:rsid w:val="00820D78"/>
    <w:rsid w:val="00821FB8"/>
    <w:rsid w:val="00822ACD"/>
    <w:rsid w:val="008256E0"/>
    <w:rsid w:val="0083132A"/>
    <w:rsid w:val="00834726"/>
    <w:rsid w:val="00834AED"/>
    <w:rsid w:val="00836886"/>
    <w:rsid w:val="00836AE5"/>
    <w:rsid w:val="00837854"/>
    <w:rsid w:val="00840885"/>
    <w:rsid w:val="00843591"/>
    <w:rsid w:val="008506C4"/>
    <w:rsid w:val="00851CD5"/>
    <w:rsid w:val="00852FE1"/>
    <w:rsid w:val="008530EB"/>
    <w:rsid w:val="00855C66"/>
    <w:rsid w:val="00857134"/>
    <w:rsid w:val="008575E2"/>
    <w:rsid w:val="0086218C"/>
    <w:rsid w:val="00863602"/>
    <w:rsid w:val="00866DBA"/>
    <w:rsid w:val="00867800"/>
    <w:rsid w:val="00871859"/>
    <w:rsid w:val="00871C32"/>
    <w:rsid w:val="00871EE4"/>
    <w:rsid w:val="00872059"/>
    <w:rsid w:val="00872B70"/>
    <w:rsid w:val="00876831"/>
    <w:rsid w:val="008837D8"/>
    <w:rsid w:val="00883BA7"/>
    <w:rsid w:val="00884F7C"/>
    <w:rsid w:val="00886820"/>
    <w:rsid w:val="00886CF6"/>
    <w:rsid w:val="00886F33"/>
    <w:rsid w:val="0089212D"/>
    <w:rsid w:val="00896726"/>
    <w:rsid w:val="00896DE7"/>
    <w:rsid w:val="008A4D6B"/>
    <w:rsid w:val="008A7B67"/>
    <w:rsid w:val="008B0D2B"/>
    <w:rsid w:val="008B293F"/>
    <w:rsid w:val="008B305E"/>
    <w:rsid w:val="008B6745"/>
    <w:rsid w:val="008B7371"/>
    <w:rsid w:val="008B769E"/>
    <w:rsid w:val="008C0A73"/>
    <w:rsid w:val="008C2114"/>
    <w:rsid w:val="008D0B22"/>
    <w:rsid w:val="008D3180"/>
    <w:rsid w:val="008D3DDB"/>
    <w:rsid w:val="008D3FE6"/>
    <w:rsid w:val="008D5B32"/>
    <w:rsid w:val="008D7BF9"/>
    <w:rsid w:val="008E04AF"/>
    <w:rsid w:val="008E63DE"/>
    <w:rsid w:val="008F094F"/>
    <w:rsid w:val="008F09F3"/>
    <w:rsid w:val="008F14BF"/>
    <w:rsid w:val="008F5168"/>
    <w:rsid w:val="008F5712"/>
    <w:rsid w:val="008F573F"/>
    <w:rsid w:val="008F6E30"/>
    <w:rsid w:val="008F7357"/>
    <w:rsid w:val="009023B2"/>
    <w:rsid w:val="009034EC"/>
    <w:rsid w:val="0090421C"/>
    <w:rsid w:val="00905148"/>
    <w:rsid w:val="00911085"/>
    <w:rsid w:val="009168D9"/>
    <w:rsid w:val="00916C63"/>
    <w:rsid w:val="009208BD"/>
    <w:rsid w:val="009210B1"/>
    <w:rsid w:val="00921926"/>
    <w:rsid w:val="00923390"/>
    <w:rsid w:val="00927B21"/>
    <w:rsid w:val="0093067A"/>
    <w:rsid w:val="009306BD"/>
    <w:rsid w:val="00930C84"/>
    <w:rsid w:val="00934C3F"/>
    <w:rsid w:val="00934D30"/>
    <w:rsid w:val="00934E6B"/>
    <w:rsid w:val="009367F2"/>
    <w:rsid w:val="009370F6"/>
    <w:rsid w:val="009372F1"/>
    <w:rsid w:val="00941C60"/>
    <w:rsid w:val="00944F46"/>
    <w:rsid w:val="009459D9"/>
    <w:rsid w:val="00946452"/>
    <w:rsid w:val="009477B5"/>
    <w:rsid w:val="00952FBA"/>
    <w:rsid w:val="009559D8"/>
    <w:rsid w:val="00956A47"/>
    <w:rsid w:val="00957365"/>
    <w:rsid w:val="00960799"/>
    <w:rsid w:val="00964041"/>
    <w:rsid w:val="00964187"/>
    <w:rsid w:val="00966D42"/>
    <w:rsid w:val="00970A75"/>
    <w:rsid w:val="00971689"/>
    <w:rsid w:val="00973E90"/>
    <w:rsid w:val="0097428E"/>
    <w:rsid w:val="00975B07"/>
    <w:rsid w:val="00976BCD"/>
    <w:rsid w:val="00977766"/>
    <w:rsid w:val="00980B4A"/>
    <w:rsid w:val="009821E2"/>
    <w:rsid w:val="0099724D"/>
    <w:rsid w:val="009A34AD"/>
    <w:rsid w:val="009A764E"/>
    <w:rsid w:val="009B0200"/>
    <w:rsid w:val="009B0344"/>
    <w:rsid w:val="009B11F3"/>
    <w:rsid w:val="009B19BD"/>
    <w:rsid w:val="009B381B"/>
    <w:rsid w:val="009B4BFF"/>
    <w:rsid w:val="009B6D80"/>
    <w:rsid w:val="009B708C"/>
    <w:rsid w:val="009B76C1"/>
    <w:rsid w:val="009C0CE9"/>
    <w:rsid w:val="009C177B"/>
    <w:rsid w:val="009C59A8"/>
    <w:rsid w:val="009C59F4"/>
    <w:rsid w:val="009C5D8B"/>
    <w:rsid w:val="009D7424"/>
    <w:rsid w:val="009E0AA3"/>
    <w:rsid w:val="009E1B80"/>
    <w:rsid w:val="009E29FD"/>
    <w:rsid w:val="009E3D0A"/>
    <w:rsid w:val="009E4858"/>
    <w:rsid w:val="009E51FC"/>
    <w:rsid w:val="009E763E"/>
    <w:rsid w:val="009F1D28"/>
    <w:rsid w:val="009F3585"/>
    <w:rsid w:val="009F6EEC"/>
    <w:rsid w:val="009F7618"/>
    <w:rsid w:val="00A0396D"/>
    <w:rsid w:val="00A04CDB"/>
    <w:rsid w:val="00A04D23"/>
    <w:rsid w:val="00A06766"/>
    <w:rsid w:val="00A11423"/>
    <w:rsid w:val="00A11896"/>
    <w:rsid w:val="00A12649"/>
    <w:rsid w:val="00A13765"/>
    <w:rsid w:val="00A17470"/>
    <w:rsid w:val="00A21278"/>
    <w:rsid w:val="00A21B12"/>
    <w:rsid w:val="00A22708"/>
    <w:rsid w:val="00A23CB8"/>
    <w:rsid w:val="00A23F80"/>
    <w:rsid w:val="00A31C7F"/>
    <w:rsid w:val="00A35FDB"/>
    <w:rsid w:val="00A36624"/>
    <w:rsid w:val="00A3669C"/>
    <w:rsid w:val="00A40EFD"/>
    <w:rsid w:val="00A413FC"/>
    <w:rsid w:val="00A4165B"/>
    <w:rsid w:val="00A46404"/>
    <w:rsid w:val="00A46CDF"/>
    <w:rsid w:val="00A46CED"/>
    <w:rsid w:val="00A46E98"/>
    <w:rsid w:val="00A46FE0"/>
    <w:rsid w:val="00A50727"/>
    <w:rsid w:val="00A51D23"/>
    <w:rsid w:val="00A523F4"/>
    <w:rsid w:val="00A54385"/>
    <w:rsid w:val="00A6352B"/>
    <w:rsid w:val="00A65A22"/>
    <w:rsid w:val="00A666B3"/>
    <w:rsid w:val="00A67BC1"/>
    <w:rsid w:val="00A701B5"/>
    <w:rsid w:val="00A70EFC"/>
    <w:rsid w:val="00A714BB"/>
    <w:rsid w:val="00A728FE"/>
    <w:rsid w:val="00A7477D"/>
    <w:rsid w:val="00A77659"/>
    <w:rsid w:val="00A81280"/>
    <w:rsid w:val="00A82AF9"/>
    <w:rsid w:val="00A85B0E"/>
    <w:rsid w:val="00A90B00"/>
    <w:rsid w:val="00A91B9B"/>
    <w:rsid w:val="00A9244B"/>
    <w:rsid w:val="00A92D8F"/>
    <w:rsid w:val="00A93767"/>
    <w:rsid w:val="00A94C30"/>
    <w:rsid w:val="00AA5D03"/>
    <w:rsid w:val="00AB24EA"/>
    <w:rsid w:val="00AB2988"/>
    <w:rsid w:val="00AB62F0"/>
    <w:rsid w:val="00AB6B54"/>
    <w:rsid w:val="00AB7999"/>
    <w:rsid w:val="00AC1715"/>
    <w:rsid w:val="00AC3073"/>
    <w:rsid w:val="00AC4174"/>
    <w:rsid w:val="00AC659B"/>
    <w:rsid w:val="00AD186F"/>
    <w:rsid w:val="00AD204C"/>
    <w:rsid w:val="00AD3292"/>
    <w:rsid w:val="00AD74C1"/>
    <w:rsid w:val="00AE0FC6"/>
    <w:rsid w:val="00AE303E"/>
    <w:rsid w:val="00AE7AF0"/>
    <w:rsid w:val="00AE7BB8"/>
    <w:rsid w:val="00AF0804"/>
    <w:rsid w:val="00AF300F"/>
    <w:rsid w:val="00AF386F"/>
    <w:rsid w:val="00AF7460"/>
    <w:rsid w:val="00AF7E6D"/>
    <w:rsid w:val="00B01E78"/>
    <w:rsid w:val="00B02C0B"/>
    <w:rsid w:val="00B11B9B"/>
    <w:rsid w:val="00B123AC"/>
    <w:rsid w:val="00B12DC2"/>
    <w:rsid w:val="00B153AB"/>
    <w:rsid w:val="00B17804"/>
    <w:rsid w:val="00B2061D"/>
    <w:rsid w:val="00B22FEE"/>
    <w:rsid w:val="00B32485"/>
    <w:rsid w:val="00B32995"/>
    <w:rsid w:val="00B356DD"/>
    <w:rsid w:val="00B36454"/>
    <w:rsid w:val="00B40416"/>
    <w:rsid w:val="00B43003"/>
    <w:rsid w:val="00B43A09"/>
    <w:rsid w:val="00B44E1B"/>
    <w:rsid w:val="00B45680"/>
    <w:rsid w:val="00B46930"/>
    <w:rsid w:val="00B500CA"/>
    <w:rsid w:val="00B537C2"/>
    <w:rsid w:val="00B53FB6"/>
    <w:rsid w:val="00B611A1"/>
    <w:rsid w:val="00B61C6A"/>
    <w:rsid w:val="00B641D9"/>
    <w:rsid w:val="00B6503D"/>
    <w:rsid w:val="00B71CA0"/>
    <w:rsid w:val="00B74923"/>
    <w:rsid w:val="00B76175"/>
    <w:rsid w:val="00B8084E"/>
    <w:rsid w:val="00B80C36"/>
    <w:rsid w:val="00B834BD"/>
    <w:rsid w:val="00B83F15"/>
    <w:rsid w:val="00B84D7D"/>
    <w:rsid w:val="00B859F5"/>
    <w:rsid w:val="00B86314"/>
    <w:rsid w:val="00B87386"/>
    <w:rsid w:val="00B92AA5"/>
    <w:rsid w:val="00B93514"/>
    <w:rsid w:val="00B94D18"/>
    <w:rsid w:val="00B954BE"/>
    <w:rsid w:val="00B968EC"/>
    <w:rsid w:val="00BA1C2E"/>
    <w:rsid w:val="00BA6A54"/>
    <w:rsid w:val="00BB12F0"/>
    <w:rsid w:val="00BB318F"/>
    <w:rsid w:val="00BB420C"/>
    <w:rsid w:val="00BB6A43"/>
    <w:rsid w:val="00BB74FC"/>
    <w:rsid w:val="00BC1CBA"/>
    <w:rsid w:val="00BC200B"/>
    <w:rsid w:val="00BC254C"/>
    <w:rsid w:val="00BC4756"/>
    <w:rsid w:val="00BC54ED"/>
    <w:rsid w:val="00BC69A4"/>
    <w:rsid w:val="00BC73EE"/>
    <w:rsid w:val="00BC7571"/>
    <w:rsid w:val="00BD3B6D"/>
    <w:rsid w:val="00BD5867"/>
    <w:rsid w:val="00BE0680"/>
    <w:rsid w:val="00BE305F"/>
    <w:rsid w:val="00BE5A97"/>
    <w:rsid w:val="00BE7BA3"/>
    <w:rsid w:val="00BF2AF4"/>
    <w:rsid w:val="00BF4EE9"/>
    <w:rsid w:val="00BF5682"/>
    <w:rsid w:val="00BF7B09"/>
    <w:rsid w:val="00C00652"/>
    <w:rsid w:val="00C00F7E"/>
    <w:rsid w:val="00C0174C"/>
    <w:rsid w:val="00C0425E"/>
    <w:rsid w:val="00C0509E"/>
    <w:rsid w:val="00C10C69"/>
    <w:rsid w:val="00C11950"/>
    <w:rsid w:val="00C13033"/>
    <w:rsid w:val="00C20A95"/>
    <w:rsid w:val="00C23F79"/>
    <w:rsid w:val="00C25AD8"/>
    <w:rsid w:val="00C2674F"/>
    <w:rsid w:val="00C2692F"/>
    <w:rsid w:val="00C3207C"/>
    <w:rsid w:val="00C32898"/>
    <w:rsid w:val="00C32BB4"/>
    <w:rsid w:val="00C34670"/>
    <w:rsid w:val="00C34ACE"/>
    <w:rsid w:val="00C377A0"/>
    <w:rsid w:val="00C400E1"/>
    <w:rsid w:val="00C4015E"/>
    <w:rsid w:val="00C41187"/>
    <w:rsid w:val="00C41ADA"/>
    <w:rsid w:val="00C44D88"/>
    <w:rsid w:val="00C506C5"/>
    <w:rsid w:val="00C512A1"/>
    <w:rsid w:val="00C52127"/>
    <w:rsid w:val="00C60772"/>
    <w:rsid w:val="00C6078C"/>
    <w:rsid w:val="00C63C31"/>
    <w:rsid w:val="00C73206"/>
    <w:rsid w:val="00C733A4"/>
    <w:rsid w:val="00C757A0"/>
    <w:rsid w:val="00C757BB"/>
    <w:rsid w:val="00C760DE"/>
    <w:rsid w:val="00C80AFB"/>
    <w:rsid w:val="00C80E03"/>
    <w:rsid w:val="00C82630"/>
    <w:rsid w:val="00C845F5"/>
    <w:rsid w:val="00C84C29"/>
    <w:rsid w:val="00C85B4E"/>
    <w:rsid w:val="00C8750C"/>
    <w:rsid w:val="00C907F7"/>
    <w:rsid w:val="00C92C66"/>
    <w:rsid w:val="00C92CB1"/>
    <w:rsid w:val="00C94EE4"/>
    <w:rsid w:val="00C96C7F"/>
    <w:rsid w:val="00CA0195"/>
    <w:rsid w:val="00CA0771"/>
    <w:rsid w:val="00CA2103"/>
    <w:rsid w:val="00CA2737"/>
    <w:rsid w:val="00CA32BE"/>
    <w:rsid w:val="00CB1229"/>
    <w:rsid w:val="00CB3D91"/>
    <w:rsid w:val="00CB3F4D"/>
    <w:rsid w:val="00CB6B99"/>
    <w:rsid w:val="00CC0A43"/>
    <w:rsid w:val="00CC0CCD"/>
    <w:rsid w:val="00CC2459"/>
    <w:rsid w:val="00CC3C84"/>
    <w:rsid w:val="00CC59C6"/>
    <w:rsid w:val="00CD211A"/>
    <w:rsid w:val="00CD6231"/>
    <w:rsid w:val="00CD6F77"/>
    <w:rsid w:val="00CE22BA"/>
    <w:rsid w:val="00CE4C87"/>
    <w:rsid w:val="00CE544A"/>
    <w:rsid w:val="00CE6D84"/>
    <w:rsid w:val="00CF4B23"/>
    <w:rsid w:val="00CF58EC"/>
    <w:rsid w:val="00CF795B"/>
    <w:rsid w:val="00D04C25"/>
    <w:rsid w:val="00D06841"/>
    <w:rsid w:val="00D0745E"/>
    <w:rsid w:val="00D11E1C"/>
    <w:rsid w:val="00D12262"/>
    <w:rsid w:val="00D122CB"/>
    <w:rsid w:val="00D160B0"/>
    <w:rsid w:val="00D16593"/>
    <w:rsid w:val="00D17F94"/>
    <w:rsid w:val="00D2163E"/>
    <w:rsid w:val="00D21C23"/>
    <w:rsid w:val="00D223FC"/>
    <w:rsid w:val="00D22960"/>
    <w:rsid w:val="00D241FF"/>
    <w:rsid w:val="00D24FF1"/>
    <w:rsid w:val="00D25A03"/>
    <w:rsid w:val="00D26D1E"/>
    <w:rsid w:val="00D27E42"/>
    <w:rsid w:val="00D32046"/>
    <w:rsid w:val="00D354EF"/>
    <w:rsid w:val="00D36B34"/>
    <w:rsid w:val="00D4040D"/>
    <w:rsid w:val="00D41A9C"/>
    <w:rsid w:val="00D43CE9"/>
    <w:rsid w:val="00D44685"/>
    <w:rsid w:val="00D45E2B"/>
    <w:rsid w:val="00D474CF"/>
    <w:rsid w:val="00D51A4D"/>
    <w:rsid w:val="00D5547E"/>
    <w:rsid w:val="00D560C3"/>
    <w:rsid w:val="00D56E95"/>
    <w:rsid w:val="00D6078B"/>
    <w:rsid w:val="00D612B7"/>
    <w:rsid w:val="00D628B9"/>
    <w:rsid w:val="00D64A02"/>
    <w:rsid w:val="00D71DDE"/>
    <w:rsid w:val="00D7667D"/>
    <w:rsid w:val="00D76AA5"/>
    <w:rsid w:val="00D817BF"/>
    <w:rsid w:val="00D819B3"/>
    <w:rsid w:val="00D869A1"/>
    <w:rsid w:val="00D9004B"/>
    <w:rsid w:val="00D905C7"/>
    <w:rsid w:val="00D9110B"/>
    <w:rsid w:val="00D92900"/>
    <w:rsid w:val="00D97EBB"/>
    <w:rsid w:val="00DA413F"/>
    <w:rsid w:val="00DA4584"/>
    <w:rsid w:val="00DA614B"/>
    <w:rsid w:val="00DA6824"/>
    <w:rsid w:val="00DA69D6"/>
    <w:rsid w:val="00DA7330"/>
    <w:rsid w:val="00DB0200"/>
    <w:rsid w:val="00DB0D1F"/>
    <w:rsid w:val="00DB40A3"/>
    <w:rsid w:val="00DB5E73"/>
    <w:rsid w:val="00DC1F43"/>
    <w:rsid w:val="00DC3060"/>
    <w:rsid w:val="00DD11BA"/>
    <w:rsid w:val="00DD2B83"/>
    <w:rsid w:val="00DD4470"/>
    <w:rsid w:val="00DD54A8"/>
    <w:rsid w:val="00DD5B6E"/>
    <w:rsid w:val="00DE041F"/>
    <w:rsid w:val="00DE0FB2"/>
    <w:rsid w:val="00DE2129"/>
    <w:rsid w:val="00DE2F66"/>
    <w:rsid w:val="00DE64FC"/>
    <w:rsid w:val="00DE77AE"/>
    <w:rsid w:val="00DF093E"/>
    <w:rsid w:val="00DF2F9B"/>
    <w:rsid w:val="00DF32F0"/>
    <w:rsid w:val="00DF52FA"/>
    <w:rsid w:val="00DF7086"/>
    <w:rsid w:val="00E001B2"/>
    <w:rsid w:val="00E01F42"/>
    <w:rsid w:val="00E06D4C"/>
    <w:rsid w:val="00E06F6C"/>
    <w:rsid w:val="00E07095"/>
    <w:rsid w:val="00E114A3"/>
    <w:rsid w:val="00E12EF9"/>
    <w:rsid w:val="00E12F97"/>
    <w:rsid w:val="00E141C6"/>
    <w:rsid w:val="00E155EB"/>
    <w:rsid w:val="00E157FF"/>
    <w:rsid w:val="00E206D6"/>
    <w:rsid w:val="00E26741"/>
    <w:rsid w:val="00E270C4"/>
    <w:rsid w:val="00E3160F"/>
    <w:rsid w:val="00E3307B"/>
    <w:rsid w:val="00E3366E"/>
    <w:rsid w:val="00E3407B"/>
    <w:rsid w:val="00E35E8D"/>
    <w:rsid w:val="00E41699"/>
    <w:rsid w:val="00E421C6"/>
    <w:rsid w:val="00E52086"/>
    <w:rsid w:val="00E543A6"/>
    <w:rsid w:val="00E54487"/>
    <w:rsid w:val="00E54D43"/>
    <w:rsid w:val="00E576E2"/>
    <w:rsid w:val="00E6010D"/>
    <w:rsid w:val="00E60479"/>
    <w:rsid w:val="00E605C7"/>
    <w:rsid w:val="00E61D73"/>
    <w:rsid w:val="00E621B5"/>
    <w:rsid w:val="00E65098"/>
    <w:rsid w:val="00E65C13"/>
    <w:rsid w:val="00E66076"/>
    <w:rsid w:val="00E67CEB"/>
    <w:rsid w:val="00E71D56"/>
    <w:rsid w:val="00E72133"/>
    <w:rsid w:val="00E73684"/>
    <w:rsid w:val="00E818D6"/>
    <w:rsid w:val="00E854A0"/>
    <w:rsid w:val="00E87F7A"/>
    <w:rsid w:val="00E93B26"/>
    <w:rsid w:val="00E958CD"/>
    <w:rsid w:val="00E96BD7"/>
    <w:rsid w:val="00EA0DB1"/>
    <w:rsid w:val="00EA0EE9"/>
    <w:rsid w:val="00EA4150"/>
    <w:rsid w:val="00EA41DD"/>
    <w:rsid w:val="00EA5469"/>
    <w:rsid w:val="00EA78BE"/>
    <w:rsid w:val="00EA7FF7"/>
    <w:rsid w:val="00EB0341"/>
    <w:rsid w:val="00EB1712"/>
    <w:rsid w:val="00EB1C1E"/>
    <w:rsid w:val="00EB50A5"/>
    <w:rsid w:val="00EB5BD4"/>
    <w:rsid w:val="00EC1411"/>
    <w:rsid w:val="00EC2343"/>
    <w:rsid w:val="00EC7FEC"/>
    <w:rsid w:val="00ED0C64"/>
    <w:rsid w:val="00ED108A"/>
    <w:rsid w:val="00ED1562"/>
    <w:rsid w:val="00ED52CA"/>
    <w:rsid w:val="00ED5860"/>
    <w:rsid w:val="00ED6EBD"/>
    <w:rsid w:val="00EE1B74"/>
    <w:rsid w:val="00EE35C9"/>
    <w:rsid w:val="00EE3D65"/>
    <w:rsid w:val="00EF1CB7"/>
    <w:rsid w:val="00F05ECA"/>
    <w:rsid w:val="00F064F3"/>
    <w:rsid w:val="00F14A3B"/>
    <w:rsid w:val="00F16234"/>
    <w:rsid w:val="00F1710F"/>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81C"/>
    <w:rsid w:val="00F45CD4"/>
    <w:rsid w:val="00F50D59"/>
    <w:rsid w:val="00F52AB6"/>
    <w:rsid w:val="00F52DDC"/>
    <w:rsid w:val="00F52E15"/>
    <w:rsid w:val="00F54A95"/>
    <w:rsid w:val="00F54F97"/>
    <w:rsid w:val="00F5632A"/>
    <w:rsid w:val="00F57A81"/>
    <w:rsid w:val="00F61106"/>
    <w:rsid w:val="00F66812"/>
    <w:rsid w:val="00F66DCA"/>
    <w:rsid w:val="00F71B0E"/>
    <w:rsid w:val="00F74F53"/>
    <w:rsid w:val="00F75549"/>
    <w:rsid w:val="00F7606D"/>
    <w:rsid w:val="00F76CE1"/>
    <w:rsid w:val="00F81670"/>
    <w:rsid w:val="00F82024"/>
    <w:rsid w:val="00F82D52"/>
    <w:rsid w:val="00F8741C"/>
    <w:rsid w:val="00F90A12"/>
    <w:rsid w:val="00F92238"/>
    <w:rsid w:val="00F95BC9"/>
    <w:rsid w:val="00F96A87"/>
    <w:rsid w:val="00F97C01"/>
    <w:rsid w:val="00FA10A6"/>
    <w:rsid w:val="00FA19F8"/>
    <w:rsid w:val="00FA2F7D"/>
    <w:rsid w:val="00FA4A8D"/>
    <w:rsid w:val="00FA624C"/>
    <w:rsid w:val="00FB2971"/>
    <w:rsid w:val="00FB70AC"/>
    <w:rsid w:val="00FC262C"/>
    <w:rsid w:val="00FC4861"/>
    <w:rsid w:val="00FC4CB1"/>
    <w:rsid w:val="00FC7B02"/>
    <w:rsid w:val="00FD0FAC"/>
    <w:rsid w:val="00FD1A21"/>
    <w:rsid w:val="00FD1DFA"/>
    <w:rsid w:val="00FD262F"/>
    <w:rsid w:val="00FD28D5"/>
    <w:rsid w:val="00FD4134"/>
    <w:rsid w:val="00FD4966"/>
    <w:rsid w:val="00FD4A43"/>
    <w:rsid w:val="00FE07FD"/>
    <w:rsid w:val="00FE1E6D"/>
    <w:rsid w:val="00FE35F3"/>
    <w:rsid w:val="00FE36F7"/>
    <w:rsid w:val="00FE3A39"/>
    <w:rsid w:val="00FE53F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5BB868"/>
  <w15:docId w15:val="{D06070B8-134D-4A81-A665-1B65559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78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1C391C"/>
    <w:pPr>
      <w:autoSpaceDE w:val="0"/>
      <w:autoSpaceDN w:val="0"/>
      <w:adjustRightInd w:val="0"/>
    </w:pPr>
    <w:rPr>
      <w:rFonts w:cs="Arial"/>
      <w:color w:val="000000"/>
      <w:sz w:val="24"/>
      <w:szCs w:val="24"/>
    </w:rPr>
  </w:style>
  <w:style w:type="character" w:customStyle="1" w:styleId="normaltextrun">
    <w:name w:val="normaltextrun"/>
    <w:basedOn w:val="DefaultParagraphFont"/>
    <w:rsid w:val="001E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1073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3013665">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50443758">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0394485">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4846979">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15083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095203759">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 w:id="213158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B3EB-1DF9-41E0-9BDB-47349864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2682</Words>
  <Characters>13998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COURTNEY Alice</cp:lastModifiedBy>
  <cp:revision>6</cp:revision>
  <cp:lastPrinted>2017-08-07T08:36:00Z</cp:lastPrinted>
  <dcterms:created xsi:type="dcterms:W3CDTF">2022-08-16T07:30:00Z</dcterms:created>
  <dcterms:modified xsi:type="dcterms:W3CDTF">2022-08-26T12:58:00Z</dcterms:modified>
</cp:coreProperties>
</file>